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F73D43">
      <w:pPr>
        <w:spacing w:before="120" w:after="120" w:line="360" w:lineRule="auto"/>
        <w:ind w:firstLine="602"/>
        <w:jc w:val="center"/>
        <w:rPr>
          <w:b/>
          <w:bCs/>
          <w:sz w:val="30"/>
          <w:szCs w:val="30"/>
        </w:rPr>
      </w:pPr>
    </w:p>
    <w:p w14:paraId="145EA333">
      <w:pPr>
        <w:spacing w:before="120" w:after="120" w:line="360" w:lineRule="auto"/>
        <w:ind w:firstLine="723"/>
        <w:jc w:val="center"/>
        <w:rPr>
          <w:rFonts w:ascii="黑体" w:eastAsia="黑体"/>
          <w:b/>
          <w:sz w:val="36"/>
          <w:szCs w:val="36"/>
        </w:rPr>
      </w:pPr>
      <w:r>
        <w:rPr>
          <w:rFonts w:hint="eastAsia" w:ascii="黑体" w:eastAsia="黑体"/>
          <w:b/>
          <w:sz w:val="36"/>
          <w:szCs w:val="36"/>
        </w:rPr>
        <w:t>江 西 省 地 方 标 准</w:t>
      </w:r>
    </w:p>
    <w:p w14:paraId="18B42BAB">
      <w:pPr>
        <w:pStyle w:val="7"/>
        <w:spacing w:line="360" w:lineRule="auto"/>
        <w:ind w:firstLine="221" w:firstLineChars="50"/>
        <w:jc w:val="center"/>
        <w:outlineLvl w:val="0"/>
        <w:rPr>
          <w:rFonts w:ascii="Times New Roman" w:cs="Times New Roman"/>
          <w:b/>
          <w:sz w:val="44"/>
          <w:szCs w:val="44"/>
        </w:rPr>
      </w:pPr>
      <w:r>
        <w:rPr>
          <w:rFonts w:ascii="Times New Roman" w:cs="Times New Roman"/>
          <w:b/>
          <w:sz w:val="44"/>
          <w:szCs w:val="44"/>
        </w:rPr>
        <w:t>《</w:t>
      </w:r>
      <w:r>
        <w:rPr>
          <w:rFonts w:hint="eastAsia" w:ascii="Times New Roman" w:cs="Times New Roman"/>
          <w:b/>
          <w:sz w:val="44"/>
          <w:szCs w:val="44"/>
          <w:lang w:eastAsia="zh-CN"/>
        </w:rPr>
        <w:t>道路工程裸露边坡生态防护</w:t>
      </w:r>
      <w:r>
        <w:rPr>
          <w:rFonts w:hint="eastAsia" w:ascii="Times New Roman" w:cs="Times New Roman"/>
          <w:b/>
          <w:sz w:val="44"/>
          <w:szCs w:val="44"/>
        </w:rPr>
        <w:t>施工技术规范</w:t>
      </w:r>
      <w:r>
        <w:rPr>
          <w:rFonts w:ascii="Times New Roman" w:cs="Times New Roman"/>
          <w:b/>
          <w:sz w:val="44"/>
          <w:szCs w:val="44"/>
        </w:rPr>
        <w:t>》</w:t>
      </w:r>
    </w:p>
    <w:p w14:paraId="20E54F62">
      <w:pPr>
        <w:tabs>
          <w:tab w:val="center" w:pos="4680"/>
          <w:tab w:val="left" w:pos="6060"/>
        </w:tabs>
        <w:spacing w:before="120" w:after="120" w:line="360" w:lineRule="auto"/>
        <w:ind w:firstLine="602"/>
        <w:jc w:val="center"/>
        <w:outlineLvl w:val="0"/>
        <w:rPr>
          <w:rFonts w:hAnsi="宋体"/>
          <w:b/>
          <w:color w:val="000000" w:themeColor="text1"/>
          <w:sz w:val="30"/>
          <w:szCs w:val="30"/>
          <w14:textFill>
            <w14:solidFill>
              <w14:schemeClr w14:val="tx1"/>
            </w14:solidFill>
          </w14:textFill>
        </w:rPr>
      </w:pPr>
    </w:p>
    <w:p w14:paraId="7CE2234E">
      <w:pPr>
        <w:tabs>
          <w:tab w:val="center" w:pos="4680"/>
          <w:tab w:val="left" w:pos="6060"/>
        </w:tabs>
        <w:spacing w:before="120" w:after="120" w:line="360" w:lineRule="auto"/>
        <w:ind w:firstLine="602"/>
        <w:jc w:val="center"/>
        <w:outlineLvl w:val="0"/>
        <w:rPr>
          <w:rFonts w:hAnsi="宋体"/>
          <w:b/>
          <w:color w:val="FF0000"/>
          <w:sz w:val="30"/>
          <w:szCs w:val="30"/>
        </w:rPr>
      </w:pPr>
    </w:p>
    <w:p w14:paraId="01EF9952">
      <w:pPr>
        <w:tabs>
          <w:tab w:val="center" w:pos="4680"/>
          <w:tab w:val="left" w:pos="6060"/>
        </w:tabs>
        <w:spacing w:before="120" w:after="120" w:line="360" w:lineRule="auto"/>
        <w:ind w:firstLine="602"/>
        <w:jc w:val="center"/>
        <w:outlineLvl w:val="0"/>
        <w:rPr>
          <w:rFonts w:hAnsi="宋体"/>
          <w:b/>
          <w:color w:val="FF0000"/>
          <w:sz w:val="30"/>
          <w:szCs w:val="30"/>
        </w:rPr>
      </w:pPr>
    </w:p>
    <w:p w14:paraId="5C74CAC8">
      <w:pPr>
        <w:tabs>
          <w:tab w:val="center" w:pos="4680"/>
          <w:tab w:val="left" w:pos="6060"/>
        </w:tabs>
        <w:spacing w:before="120" w:after="120" w:line="360" w:lineRule="auto"/>
        <w:ind w:firstLine="3654" w:firstLineChars="700"/>
        <w:outlineLvl w:val="0"/>
        <w:rPr>
          <w:rFonts w:eastAsia="黑体"/>
          <w:b/>
          <w:bCs/>
          <w:color w:val="000000"/>
          <w:kern w:val="0"/>
          <w:sz w:val="52"/>
          <w:szCs w:val="52"/>
        </w:rPr>
      </w:pPr>
      <w:r>
        <w:rPr>
          <w:rFonts w:eastAsia="黑体"/>
          <w:b/>
          <w:bCs/>
          <w:color w:val="000000"/>
          <w:kern w:val="0"/>
          <w:sz w:val="52"/>
          <w:szCs w:val="52"/>
        </w:rPr>
        <w:t>编制说明</w:t>
      </w:r>
    </w:p>
    <w:p w14:paraId="06D8016F">
      <w:pPr>
        <w:spacing w:before="120" w:after="120" w:line="360" w:lineRule="auto"/>
        <w:ind w:firstLine="602"/>
        <w:jc w:val="center"/>
        <w:rPr>
          <w:b/>
          <w:color w:val="000000"/>
          <w:sz w:val="30"/>
          <w:szCs w:val="30"/>
        </w:rPr>
      </w:pPr>
    </w:p>
    <w:p w14:paraId="769C4C7F">
      <w:pPr>
        <w:spacing w:before="120" w:after="120" w:line="360" w:lineRule="auto"/>
        <w:ind w:firstLine="602"/>
        <w:jc w:val="center"/>
        <w:rPr>
          <w:b/>
          <w:color w:val="000000"/>
          <w:sz w:val="30"/>
          <w:szCs w:val="30"/>
        </w:rPr>
      </w:pPr>
    </w:p>
    <w:p w14:paraId="00EC5795">
      <w:pPr>
        <w:spacing w:before="120" w:after="120" w:line="360" w:lineRule="auto"/>
        <w:ind w:firstLine="643"/>
        <w:jc w:val="center"/>
        <w:rPr>
          <w:b/>
          <w:color w:val="000000"/>
          <w:sz w:val="32"/>
          <w:szCs w:val="32"/>
        </w:rPr>
      </w:pPr>
    </w:p>
    <w:p w14:paraId="642AF3B6">
      <w:pPr>
        <w:spacing w:before="120" w:after="120" w:line="360" w:lineRule="auto"/>
        <w:rPr>
          <w:color w:val="000000"/>
        </w:rPr>
      </w:pPr>
    </w:p>
    <w:p w14:paraId="7D7004AD">
      <w:pPr>
        <w:spacing w:before="120" w:after="120" w:line="360" w:lineRule="auto"/>
        <w:rPr>
          <w:color w:val="000000"/>
        </w:rPr>
      </w:pPr>
    </w:p>
    <w:p w14:paraId="29A4B23F">
      <w:pPr>
        <w:spacing w:before="120" w:after="120" w:line="360" w:lineRule="auto"/>
        <w:rPr>
          <w:color w:val="000000"/>
        </w:rPr>
      </w:pPr>
    </w:p>
    <w:p w14:paraId="647CF14B">
      <w:pPr>
        <w:spacing w:before="120" w:after="120" w:line="360" w:lineRule="auto"/>
        <w:rPr>
          <w:color w:val="000000"/>
        </w:rPr>
      </w:pPr>
    </w:p>
    <w:p w14:paraId="116FA8B9">
      <w:pPr>
        <w:spacing w:before="120" w:after="120" w:line="360" w:lineRule="auto"/>
        <w:rPr>
          <w:color w:val="000000"/>
        </w:rPr>
      </w:pPr>
    </w:p>
    <w:p w14:paraId="1E14BF67">
      <w:pPr>
        <w:spacing w:before="120" w:after="120" w:line="360" w:lineRule="auto"/>
        <w:rPr>
          <w:color w:val="000000"/>
        </w:rPr>
      </w:pPr>
    </w:p>
    <w:p w14:paraId="26631F19">
      <w:pPr>
        <w:spacing w:before="120" w:after="120" w:line="360" w:lineRule="auto"/>
        <w:rPr>
          <w:color w:val="000000"/>
        </w:rPr>
      </w:pPr>
    </w:p>
    <w:p w14:paraId="0393BBC9">
      <w:pPr>
        <w:pStyle w:val="7"/>
        <w:spacing w:line="360" w:lineRule="auto"/>
        <w:ind w:firstLine="141" w:firstLineChars="50"/>
        <w:jc w:val="center"/>
        <w:outlineLvl w:val="0"/>
        <w:rPr>
          <w:b/>
          <w:sz w:val="28"/>
          <w:szCs w:val="28"/>
        </w:rPr>
      </w:pPr>
      <w:r>
        <w:rPr>
          <w:rFonts w:ascii="Times New Roman" w:hAnsi="宋体" w:eastAsia="宋体" w:cs="Times New Roman"/>
          <w:b/>
          <w:kern w:val="2"/>
          <w:sz w:val="28"/>
          <w:szCs w:val="28"/>
        </w:rPr>
        <w:t>《</w:t>
      </w:r>
      <w:r>
        <w:rPr>
          <w:rFonts w:hint="eastAsia" w:ascii="Times New Roman" w:hAnsi="宋体" w:eastAsia="宋体" w:cs="Times New Roman"/>
          <w:b/>
          <w:kern w:val="2"/>
          <w:sz w:val="28"/>
          <w:szCs w:val="28"/>
        </w:rPr>
        <w:t>道路工程裸露边坡生态</w:t>
      </w:r>
      <w:r>
        <w:rPr>
          <w:rFonts w:hint="eastAsia" w:ascii="Times New Roman" w:hAnsi="宋体" w:eastAsia="宋体" w:cs="Times New Roman"/>
          <w:b/>
          <w:kern w:val="2"/>
          <w:sz w:val="28"/>
          <w:szCs w:val="28"/>
          <w:lang w:eastAsia="zh-CN"/>
        </w:rPr>
        <w:t>防护</w:t>
      </w:r>
      <w:r>
        <w:rPr>
          <w:rFonts w:hint="eastAsia" w:ascii="Times New Roman" w:hAnsi="宋体" w:eastAsia="宋体" w:cs="Times New Roman"/>
          <w:b/>
          <w:kern w:val="2"/>
          <w:sz w:val="28"/>
          <w:szCs w:val="28"/>
        </w:rPr>
        <w:t>施工技术规范</w:t>
      </w:r>
      <w:r>
        <w:rPr>
          <w:rFonts w:ascii="Times New Roman" w:hAnsi="宋体" w:eastAsia="宋体" w:cs="Times New Roman"/>
          <w:b/>
          <w:kern w:val="2"/>
          <w:sz w:val="28"/>
          <w:szCs w:val="28"/>
        </w:rPr>
        <w:t>》</w:t>
      </w:r>
      <w:r>
        <w:rPr>
          <w:rFonts w:hAnsi="宋体"/>
          <w:b/>
          <w:sz w:val="28"/>
          <w:szCs w:val="28"/>
        </w:rPr>
        <w:t>标准编制组</w:t>
      </w:r>
    </w:p>
    <w:p w14:paraId="35A5DFF1">
      <w:pPr>
        <w:spacing w:before="120" w:after="120" w:line="360" w:lineRule="auto"/>
        <w:ind w:firstLine="562"/>
        <w:jc w:val="center"/>
        <w:rPr>
          <w:rFonts w:hAnsi="宋体"/>
          <w:b/>
          <w:color w:val="000000"/>
          <w:sz w:val="28"/>
          <w:szCs w:val="28"/>
        </w:rPr>
        <w:sectPr>
          <w:headerReference r:id="rId7" w:type="first"/>
          <w:footerReference r:id="rId10" w:type="first"/>
          <w:headerReference r:id="rId5" w:type="default"/>
          <w:footerReference r:id="rId8" w:type="default"/>
          <w:headerReference r:id="rId6" w:type="even"/>
          <w:footerReference r:id="rId9" w:type="even"/>
          <w:pgSz w:w="11906" w:h="16838"/>
          <w:pgMar w:top="1531" w:right="1531" w:bottom="1531" w:left="1531" w:header="851" w:footer="992" w:gutter="0"/>
          <w:pgNumType w:start="1"/>
          <w:cols w:space="720" w:num="1"/>
          <w:docGrid w:linePitch="312" w:charSpace="0"/>
        </w:sectPr>
      </w:pPr>
      <w:r>
        <w:rPr>
          <w:b/>
          <w:color w:val="000000"/>
          <w:sz w:val="28"/>
          <w:szCs w:val="28"/>
        </w:rPr>
        <w:t>20</w:t>
      </w:r>
      <w:r>
        <w:rPr>
          <w:rFonts w:hint="eastAsia"/>
          <w:b/>
          <w:color w:val="000000"/>
          <w:sz w:val="28"/>
          <w:szCs w:val="28"/>
        </w:rPr>
        <w:t>24</w:t>
      </w:r>
      <w:r>
        <w:rPr>
          <w:rFonts w:hAnsi="宋体"/>
          <w:b/>
          <w:color w:val="000000"/>
          <w:sz w:val="28"/>
          <w:szCs w:val="28"/>
        </w:rPr>
        <w:t>年</w:t>
      </w:r>
      <w:r>
        <w:rPr>
          <w:rFonts w:hint="eastAsia" w:hAnsi="宋体"/>
          <w:b/>
          <w:color w:val="000000"/>
          <w:sz w:val="28"/>
          <w:szCs w:val="28"/>
          <w:lang w:val="en-US" w:eastAsia="zh-CN"/>
        </w:rPr>
        <w:t>7</w:t>
      </w:r>
      <w:r>
        <w:rPr>
          <w:rFonts w:hAnsi="宋体"/>
          <w:b/>
          <w:color w:val="000000"/>
          <w:sz w:val="28"/>
          <w:szCs w:val="28"/>
        </w:rPr>
        <w:t>月</w:t>
      </w:r>
    </w:p>
    <w:p w14:paraId="61867BE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textAlignment w:val="auto"/>
        <w:outlineLvl w:val="0"/>
        <w:rPr>
          <w:rFonts w:ascii="黑体" w:eastAsia="黑体"/>
          <w:color w:val="000000"/>
          <w:sz w:val="32"/>
          <w:szCs w:val="32"/>
        </w:rPr>
      </w:pPr>
      <w:r>
        <w:rPr>
          <w:rFonts w:hint="eastAsia" w:ascii="黑体" w:eastAsia="黑体"/>
          <w:color w:val="000000"/>
          <w:sz w:val="32"/>
          <w:szCs w:val="32"/>
        </w:rPr>
        <w:t>一、工作简况</w:t>
      </w:r>
    </w:p>
    <w:p w14:paraId="65D4A92C">
      <w:pPr>
        <w:keepNext w:val="0"/>
        <w:keepLines w:val="0"/>
        <w:pageBreakBefore w:val="0"/>
        <w:widowControl w:val="0"/>
        <w:numPr>
          <w:ilvl w:val="0"/>
          <w:numId w:val="1"/>
        </w:numPr>
        <w:kinsoku/>
        <w:wordWrap/>
        <w:overflowPunct/>
        <w:topLinePunct w:val="0"/>
        <w:autoSpaceDE/>
        <w:autoSpaceDN/>
        <w:bidi w:val="0"/>
        <w:adjustRightInd/>
        <w:snapToGrid/>
        <w:spacing w:before="0" w:beforeLines="0" w:after="0" w:afterLines="0" w:line="360" w:lineRule="auto"/>
        <w:ind w:left="0" w:firstLine="640" w:firstLineChars="200"/>
        <w:jc w:val="left"/>
        <w:textAlignment w:val="auto"/>
        <w:rPr>
          <w:sz w:val="32"/>
          <w:szCs w:val="32"/>
        </w:rPr>
      </w:pPr>
      <w:r>
        <w:rPr>
          <w:rFonts w:hint="eastAsia"/>
          <w:sz w:val="32"/>
          <w:szCs w:val="32"/>
        </w:rPr>
        <w:t>任务来源</w:t>
      </w:r>
    </w:p>
    <w:p w14:paraId="3C10B377">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textAlignment w:val="auto"/>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本地方标准项目根据《江西省市场监管局关于下达 2024年第</w:t>
      </w:r>
      <w:r>
        <w:rPr>
          <w:rFonts w:hint="eastAsia" w:ascii="宋体" w:hAnsi="宋体" w:cs="宋体"/>
          <w:color w:val="000000" w:themeColor="text1"/>
          <w:sz w:val="32"/>
          <w:szCs w:val="32"/>
          <w:lang w:eastAsia="zh-CN"/>
          <w14:textFill>
            <w14:solidFill>
              <w14:schemeClr w14:val="tx1"/>
            </w14:solidFill>
          </w14:textFill>
        </w:rPr>
        <w:t>八</w:t>
      </w:r>
      <w:r>
        <w:rPr>
          <w:rFonts w:hint="eastAsia" w:ascii="宋体" w:hAnsi="宋体" w:cs="宋体"/>
          <w:color w:val="000000" w:themeColor="text1"/>
          <w:sz w:val="32"/>
          <w:szCs w:val="32"/>
          <w14:textFill>
            <w14:solidFill>
              <w14:schemeClr w14:val="tx1"/>
            </w14:solidFill>
          </w14:textFill>
        </w:rPr>
        <w:t>批江西省地方标准制修订计划的通知》（赣市监标〔2024〕</w:t>
      </w:r>
      <w:r>
        <w:rPr>
          <w:rFonts w:hint="eastAsia" w:ascii="宋体" w:hAnsi="宋体" w:cs="宋体"/>
          <w:color w:val="000000" w:themeColor="text1"/>
          <w:sz w:val="32"/>
          <w:szCs w:val="32"/>
          <w:lang w:val="en-US" w:eastAsia="zh-CN"/>
          <w14:textFill>
            <w14:solidFill>
              <w14:schemeClr w14:val="tx1"/>
            </w14:solidFill>
          </w14:textFill>
        </w:rPr>
        <w:t>19</w:t>
      </w:r>
      <w:r>
        <w:rPr>
          <w:rFonts w:hint="eastAsia" w:ascii="宋体" w:hAnsi="宋体" w:cs="宋体"/>
          <w:color w:val="000000" w:themeColor="text1"/>
          <w:sz w:val="32"/>
          <w:szCs w:val="32"/>
          <w14:textFill>
            <w14:solidFill>
              <w14:schemeClr w14:val="tx1"/>
            </w14:solidFill>
          </w14:textFill>
        </w:rPr>
        <w:t>号）的要求开展编制工作，计划编号为DB36-2024-8-15。归口单位为江西省交通运输厅。</w:t>
      </w:r>
    </w:p>
    <w:p w14:paraId="69512CCD">
      <w:pPr>
        <w:keepNext w:val="0"/>
        <w:keepLines w:val="0"/>
        <w:pageBreakBefore w:val="0"/>
        <w:widowControl w:val="0"/>
        <w:numPr>
          <w:ilvl w:val="0"/>
          <w:numId w:val="1"/>
        </w:numPr>
        <w:kinsoku/>
        <w:wordWrap/>
        <w:overflowPunct/>
        <w:topLinePunct w:val="0"/>
        <w:autoSpaceDE/>
        <w:autoSpaceDN/>
        <w:bidi w:val="0"/>
        <w:adjustRightInd/>
        <w:snapToGrid/>
        <w:spacing w:before="0" w:beforeLines="0" w:after="0" w:afterLines="0" w:line="360" w:lineRule="auto"/>
        <w:ind w:left="0" w:firstLine="640" w:firstLineChars="200"/>
        <w:jc w:val="left"/>
        <w:textAlignment w:val="auto"/>
        <w:rPr>
          <w:sz w:val="32"/>
          <w:szCs w:val="32"/>
        </w:rPr>
      </w:pPr>
      <w:r>
        <w:rPr>
          <w:rFonts w:hint="eastAsia"/>
          <w:sz w:val="32"/>
          <w:szCs w:val="32"/>
        </w:rPr>
        <w:t>起草单位</w:t>
      </w:r>
    </w:p>
    <w:p w14:paraId="12E44818">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jc w:val="left"/>
        <w:textAlignment w:val="auto"/>
        <w:rPr>
          <w:rFonts w:hint="eastAsia"/>
          <w:sz w:val="32"/>
          <w:szCs w:val="32"/>
        </w:rPr>
      </w:pPr>
      <w:r>
        <w:rPr>
          <w:rFonts w:hint="eastAsia"/>
          <w:sz w:val="32"/>
          <w:szCs w:val="32"/>
        </w:rPr>
        <w:t>起草单位有江西省公路工程有限责任公司、江西艺通园林绿化有限公司</w:t>
      </w:r>
      <w:r>
        <w:rPr>
          <w:rFonts w:hint="eastAsia"/>
          <w:sz w:val="32"/>
          <w:szCs w:val="32"/>
          <w:lang w:eastAsia="zh-CN"/>
        </w:rPr>
        <w:t>、</w:t>
      </w:r>
      <w:r>
        <w:rPr>
          <w:rFonts w:hint="eastAsia"/>
          <w:sz w:val="32"/>
          <w:szCs w:val="32"/>
        </w:rPr>
        <w:t>南昌大学</w:t>
      </w:r>
      <w:r>
        <w:rPr>
          <w:rFonts w:hint="eastAsia"/>
          <w:sz w:val="32"/>
          <w:szCs w:val="32"/>
          <w:lang w:eastAsia="zh-CN"/>
        </w:rPr>
        <w:t>和山东电力工程咨询院有限公司</w:t>
      </w:r>
      <w:r>
        <w:rPr>
          <w:rFonts w:hint="eastAsia"/>
          <w:sz w:val="32"/>
          <w:szCs w:val="32"/>
        </w:rPr>
        <w:t>。</w:t>
      </w:r>
    </w:p>
    <w:p w14:paraId="40193E83">
      <w:pPr>
        <w:keepNext w:val="0"/>
        <w:keepLines w:val="0"/>
        <w:pageBreakBefore w:val="0"/>
        <w:widowControl w:val="0"/>
        <w:numPr>
          <w:ilvl w:val="0"/>
          <w:numId w:val="1"/>
        </w:numPr>
        <w:kinsoku/>
        <w:wordWrap/>
        <w:overflowPunct/>
        <w:topLinePunct w:val="0"/>
        <w:autoSpaceDE/>
        <w:autoSpaceDN/>
        <w:bidi w:val="0"/>
        <w:adjustRightInd/>
        <w:snapToGrid/>
        <w:spacing w:before="0" w:beforeLines="0" w:after="0" w:afterLines="0" w:line="360" w:lineRule="auto"/>
        <w:ind w:left="0" w:firstLine="640" w:firstLineChars="200"/>
        <w:jc w:val="left"/>
        <w:textAlignment w:val="auto"/>
        <w:rPr>
          <w:rFonts w:hint="eastAsia"/>
          <w:sz w:val="32"/>
          <w:szCs w:val="32"/>
          <w:lang w:val="en-US" w:eastAsia="zh-CN"/>
        </w:rPr>
      </w:pPr>
      <w:r>
        <w:rPr>
          <w:rFonts w:hint="eastAsia"/>
          <w:sz w:val="32"/>
          <w:szCs w:val="32"/>
          <w:lang w:val="en-US" w:eastAsia="zh-CN"/>
        </w:rPr>
        <w:t>主要起草人</w:t>
      </w:r>
    </w:p>
    <w:p w14:paraId="62BE97AE">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jc w:val="left"/>
        <w:textAlignment w:val="auto"/>
        <w:rPr>
          <w:rFonts w:hint="eastAsia"/>
          <w:sz w:val="32"/>
          <w:szCs w:val="32"/>
        </w:rPr>
      </w:pPr>
      <w:r>
        <w:rPr>
          <w:rFonts w:hint="eastAsia"/>
          <w:sz w:val="32"/>
          <w:szCs w:val="32"/>
          <w:lang w:eastAsia="zh-CN"/>
        </w:rPr>
        <w:t>成立</w:t>
      </w:r>
      <w:r>
        <w:rPr>
          <w:rFonts w:hint="eastAsia"/>
          <w:sz w:val="32"/>
          <w:szCs w:val="32"/>
        </w:rPr>
        <w:t>标准编制</w:t>
      </w:r>
      <w:r>
        <w:rPr>
          <w:rFonts w:hint="eastAsia"/>
          <w:sz w:val="32"/>
          <w:szCs w:val="32"/>
          <w:lang w:eastAsia="zh-CN"/>
        </w:rPr>
        <w:t>小</w:t>
      </w:r>
      <w:r>
        <w:rPr>
          <w:rFonts w:hint="eastAsia"/>
          <w:sz w:val="32"/>
          <w:szCs w:val="32"/>
        </w:rPr>
        <w:t>组，</w:t>
      </w:r>
      <w:r>
        <w:rPr>
          <w:rFonts w:hint="eastAsia"/>
          <w:sz w:val="32"/>
          <w:szCs w:val="32"/>
          <w:lang w:eastAsia="zh-CN"/>
        </w:rPr>
        <w:t>根据</w:t>
      </w:r>
      <w:r>
        <w:rPr>
          <w:rFonts w:hint="eastAsia"/>
          <w:sz w:val="32"/>
          <w:szCs w:val="32"/>
        </w:rPr>
        <w:t>标准编制工作任务</w:t>
      </w:r>
      <w:r>
        <w:rPr>
          <w:rFonts w:hint="eastAsia"/>
          <w:sz w:val="32"/>
          <w:szCs w:val="32"/>
          <w:lang w:eastAsia="zh-CN"/>
        </w:rPr>
        <w:t>和时间安排</w:t>
      </w:r>
      <w:r>
        <w:rPr>
          <w:rFonts w:hint="eastAsia"/>
          <w:sz w:val="32"/>
          <w:szCs w:val="32"/>
        </w:rPr>
        <w:t>进行了</w:t>
      </w:r>
      <w:r>
        <w:rPr>
          <w:rFonts w:hint="eastAsia"/>
          <w:sz w:val="32"/>
          <w:szCs w:val="32"/>
          <w:lang w:eastAsia="zh-CN"/>
        </w:rPr>
        <w:t>任务分工和工作</w:t>
      </w:r>
      <w:r>
        <w:rPr>
          <w:rFonts w:hint="eastAsia"/>
          <w:sz w:val="32"/>
          <w:szCs w:val="32"/>
        </w:rPr>
        <w:t>部署。</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926"/>
        <w:gridCol w:w="1825"/>
        <w:gridCol w:w="2362"/>
        <w:gridCol w:w="1705"/>
      </w:tblGrid>
      <w:tr w14:paraId="0008C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5B882FC4">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firstLine="560" w:firstLineChars="200"/>
              <w:jc w:val="center"/>
              <w:textAlignment w:val="auto"/>
              <w:rPr>
                <w:rFonts w:hint="eastAsia" w:eastAsia="宋体"/>
                <w:sz w:val="28"/>
                <w:szCs w:val="28"/>
                <w:vertAlign w:val="baseline"/>
                <w:lang w:eastAsia="zh-CN"/>
              </w:rPr>
            </w:pPr>
            <w:r>
              <w:rPr>
                <w:rFonts w:hint="eastAsia"/>
                <w:sz w:val="28"/>
                <w:szCs w:val="28"/>
                <w:vertAlign w:val="baseline"/>
                <w:lang w:eastAsia="zh-CN"/>
              </w:rPr>
              <w:t>姓名</w:t>
            </w:r>
          </w:p>
        </w:tc>
        <w:tc>
          <w:tcPr>
            <w:tcW w:w="926" w:type="dxa"/>
            <w:vAlign w:val="center"/>
          </w:tcPr>
          <w:p w14:paraId="2F57BAB8">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firstLine="0" w:firstLineChars="0"/>
              <w:jc w:val="center"/>
              <w:textAlignment w:val="auto"/>
              <w:rPr>
                <w:rFonts w:hint="eastAsia" w:eastAsia="宋体"/>
                <w:sz w:val="28"/>
                <w:szCs w:val="28"/>
                <w:vertAlign w:val="baseline"/>
                <w:lang w:eastAsia="zh-CN"/>
              </w:rPr>
            </w:pPr>
            <w:r>
              <w:rPr>
                <w:rFonts w:hint="eastAsia"/>
                <w:sz w:val="28"/>
                <w:szCs w:val="28"/>
                <w:vertAlign w:val="baseline"/>
                <w:lang w:eastAsia="zh-CN"/>
              </w:rPr>
              <w:t>性别</w:t>
            </w:r>
          </w:p>
        </w:tc>
        <w:tc>
          <w:tcPr>
            <w:tcW w:w="1825" w:type="dxa"/>
            <w:vAlign w:val="center"/>
          </w:tcPr>
          <w:p w14:paraId="567E7B20">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firstLine="280" w:firstLineChars="100"/>
              <w:jc w:val="center"/>
              <w:textAlignment w:val="auto"/>
              <w:rPr>
                <w:rFonts w:hint="eastAsia" w:eastAsia="宋体"/>
                <w:sz w:val="28"/>
                <w:szCs w:val="28"/>
                <w:vertAlign w:val="baseline"/>
                <w:lang w:eastAsia="zh-CN"/>
              </w:rPr>
            </w:pPr>
            <w:r>
              <w:rPr>
                <w:rFonts w:hint="eastAsia"/>
                <w:sz w:val="28"/>
                <w:szCs w:val="28"/>
                <w:vertAlign w:val="baseline"/>
                <w:lang w:eastAsia="zh-CN"/>
              </w:rPr>
              <w:t>职称</w:t>
            </w:r>
          </w:p>
        </w:tc>
        <w:tc>
          <w:tcPr>
            <w:tcW w:w="2362" w:type="dxa"/>
            <w:vAlign w:val="center"/>
          </w:tcPr>
          <w:p w14:paraId="177ABA99">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firstLine="0" w:firstLineChars="0"/>
              <w:jc w:val="center"/>
              <w:textAlignment w:val="auto"/>
              <w:rPr>
                <w:rFonts w:hint="eastAsia" w:eastAsia="宋体"/>
                <w:sz w:val="28"/>
                <w:szCs w:val="28"/>
                <w:vertAlign w:val="baseline"/>
                <w:lang w:eastAsia="zh-CN"/>
              </w:rPr>
            </w:pPr>
            <w:r>
              <w:rPr>
                <w:rFonts w:hint="eastAsia"/>
                <w:sz w:val="28"/>
                <w:szCs w:val="28"/>
                <w:vertAlign w:val="baseline"/>
                <w:lang w:eastAsia="zh-CN"/>
              </w:rPr>
              <w:t>工作单位</w:t>
            </w:r>
          </w:p>
        </w:tc>
        <w:tc>
          <w:tcPr>
            <w:tcW w:w="1705" w:type="dxa"/>
            <w:vAlign w:val="center"/>
          </w:tcPr>
          <w:p w14:paraId="4E5995B6">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firstLine="0" w:firstLineChars="0"/>
              <w:jc w:val="center"/>
              <w:textAlignment w:val="auto"/>
              <w:rPr>
                <w:rFonts w:hint="eastAsia" w:eastAsia="宋体"/>
                <w:sz w:val="28"/>
                <w:szCs w:val="28"/>
                <w:vertAlign w:val="baseline"/>
                <w:lang w:eastAsia="zh-CN"/>
              </w:rPr>
            </w:pPr>
            <w:r>
              <w:rPr>
                <w:rFonts w:hint="eastAsia"/>
                <w:sz w:val="28"/>
                <w:szCs w:val="28"/>
                <w:vertAlign w:val="baseline"/>
                <w:lang w:eastAsia="zh-CN"/>
              </w:rPr>
              <w:t>任务分工</w:t>
            </w:r>
          </w:p>
        </w:tc>
      </w:tr>
      <w:tr w14:paraId="54321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57CA5EAA">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李锦锋</w:t>
            </w:r>
          </w:p>
        </w:tc>
        <w:tc>
          <w:tcPr>
            <w:tcW w:w="926" w:type="dxa"/>
            <w:vAlign w:val="center"/>
          </w:tcPr>
          <w:p w14:paraId="462B2724">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男</w:t>
            </w:r>
          </w:p>
        </w:tc>
        <w:tc>
          <w:tcPr>
            <w:tcW w:w="1825" w:type="dxa"/>
            <w:vAlign w:val="center"/>
          </w:tcPr>
          <w:p w14:paraId="0448495E">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高级工程师</w:t>
            </w:r>
          </w:p>
        </w:tc>
        <w:tc>
          <w:tcPr>
            <w:tcW w:w="2362" w:type="dxa"/>
            <w:vAlign w:val="center"/>
          </w:tcPr>
          <w:p w14:paraId="711BF67B">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江西省艺通园林绿化有限公司</w:t>
            </w:r>
          </w:p>
        </w:tc>
        <w:tc>
          <w:tcPr>
            <w:tcW w:w="1705" w:type="dxa"/>
            <w:vAlign w:val="center"/>
          </w:tcPr>
          <w:p w14:paraId="391333A5">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主持规范起草</w:t>
            </w:r>
          </w:p>
        </w:tc>
      </w:tr>
      <w:tr w14:paraId="32B6C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4AC5EF95">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朱烈豪</w:t>
            </w:r>
          </w:p>
        </w:tc>
        <w:tc>
          <w:tcPr>
            <w:tcW w:w="926" w:type="dxa"/>
            <w:vAlign w:val="center"/>
          </w:tcPr>
          <w:p w14:paraId="1F0D3D57">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男</w:t>
            </w:r>
          </w:p>
        </w:tc>
        <w:tc>
          <w:tcPr>
            <w:tcW w:w="1825" w:type="dxa"/>
            <w:vAlign w:val="center"/>
          </w:tcPr>
          <w:p w14:paraId="6C4078B9">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高级工程师</w:t>
            </w:r>
          </w:p>
        </w:tc>
        <w:tc>
          <w:tcPr>
            <w:tcW w:w="2362" w:type="dxa"/>
            <w:vAlign w:val="center"/>
          </w:tcPr>
          <w:p w14:paraId="6D115AA1">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江西省交通建设工程质量监督管理局</w:t>
            </w:r>
          </w:p>
        </w:tc>
        <w:tc>
          <w:tcPr>
            <w:tcW w:w="1705" w:type="dxa"/>
            <w:vAlign w:val="center"/>
          </w:tcPr>
          <w:p w14:paraId="5F992E7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负责规范起草</w:t>
            </w:r>
          </w:p>
        </w:tc>
      </w:tr>
      <w:tr w14:paraId="55564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0E53FBAC">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姚池</w:t>
            </w:r>
          </w:p>
        </w:tc>
        <w:tc>
          <w:tcPr>
            <w:tcW w:w="926" w:type="dxa"/>
            <w:vAlign w:val="center"/>
          </w:tcPr>
          <w:p w14:paraId="39C967C2">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男</w:t>
            </w:r>
          </w:p>
        </w:tc>
        <w:tc>
          <w:tcPr>
            <w:tcW w:w="1825" w:type="dxa"/>
            <w:vAlign w:val="center"/>
          </w:tcPr>
          <w:p w14:paraId="0ED1B1CA">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教授</w:t>
            </w:r>
          </w:p>
        </w:tc>
        <w:tc>
          <w:tcPr>
            <w:tcW w:w="2362" w:type="dxa"/>
            <w:vAlign w:val="center"/>
          </w:tcPr>
          <w:p w14:paraId="4813F6D7">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南昌大学</w:t>
            </w:r>
          </w:p>
        </w:tc>
        <w:tc>
          <w:tcPr>
            <w:tcW w:w="1705" w:type="dxa"/>
            <w:vAlign w:val="center"/>
          </w:tcPr>
          <w:p w14:paraId="2EB45AC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负责规范起草</w:t>
            </w:r>
          </w:p>
        </w:tc>
      </w:tr>
      <w:tr w14:paraId="55313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5D79C0BA">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余小晴</w:t>
            </w:r>
          </w:p>
        </w:tc>
        <w:tc>
          <w:tcPr>
            <w:tcW w:w="926" w:type="dxa"/>
            <w:vAlign w:val="center"/>
          </w:tcPr>
          <w:p w14:paraId="3CBF0035">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男</w:t>
            </w:r>
          </w:p>
        </w:tc>
        <w:tc>
          <w:tcPr>
            <w:tcW w:w="1825" w:type="dxa"/>
            <w:vAlign w:val="center"/>
          </w:tcPr>
          <w:p w14:paraId="01653C27">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高级工程师</w:t>
            </w:r>
          </w:p>
        </w:tc>
        <w:tc>
          <w:tcPr>
            <w:tcW w:w="2362" w:type="dxa"/>
            <w:vAlign w:val="center"/>
          </w:tcPr>
          <w:p w14:paraId="63DBA849">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江西赣粤高速公路股份有限公司</w:t>
            </w:r>
          </w:p>
        </w:tc>
        <w:tc>
          <w:tcPr>
            <w:tcW w:w="1705" w:type="dxa"/>
            <w:vAlign w:val="center"/>
          </w:tcPr>
          <w:p w14:paraId="5D0BDBFE">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负责规范起草</w:t>
            </w:r>
          </w:p>
        </w:tc>
      </w:tr>
      <w:tr w14:paraId="4ED3F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631A24B0">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吴林军</w:t>
            </w:r>
          </w:p>
        </w:tc>
        <w:tc>
          <w:tcPr>
            <w:tcW w:w="926" w:type="dxa"/>
            <w:vAlign w:val="center"/>
          </w:tcPr>
          <w:p w14:paraId="22F666E3">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男</w:t>
            </w:r>
          </w:p>
        </w:tc>
        <w:tc>
          <w:tcPr>
            <w:tcW w:w="1825" w:type="dxa"/>
            <w:vAlign w:val="center"/>
          </w:tcPr>
          <w:p w14:paraId="5B356A36">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高级工程师</w:t>
            </w:r>
          </w:p>
        </w:tc>
        <w:tc>
          <w:tcPr>
            <w:tcW w:w="2362" w:type="dxa"/>
            <w:vAlign w:val="center"/>
          </w:tcPr>
          <w:p w14:paraId="028621F5">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江西省公路工程有限责任公司</w:t>
            </w:r>
          </w:p>
        </w:tc>
        <w:tc>
          <w:tcPr>
            <w:tcW w:w="1705" w:type="dxa"/>
            <w:vAlign w:val="center"/>
          </w:tcPr>
          <w:p w14:paraId="5579C4E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负责规范起草</w:t>
            </w:r>
          </w:p>
        </w:tc>
      </w:tr>
      <w:tr w14:paraId="216EF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03739B35">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赵华</w:t>
            </w:r>
          </w:p>
        </w:tc>
        <w:tc>
          <w:tcPr>
            <w:tcW w:w="926" w:type="dxa"/>
            <w:vAlign w:val="center"/>
          </w:tcPr>
          <w:p w14:paraId="4CF75433">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女</w:t>
            </w:r>
          </w:p>
        </w:tc>
        <w:tc>
          <w:tcPr>
            <w:tcW w:w="1825" w:type="dxa"/>
            <w:vAlign w:val="center"/>
          </w:tcPr>
          <w:p w14:paraId="601834A4">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副教授</w:t>
            </w:r>
          </w:p>
        </w:tc>
        <w:tc>
          <w:tcPr>
            <w:tcW w:w="2362" w:type="dxa"/>
            <w:vAlign w:val="center"/>
          </w:tcPr>
          <w:p w14:paraId="6B8D5AB3">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南昌大学</w:t>
            </w:r>
          </w:p>
        </w:tc>
        <w:tc>
          <w:tcPr>
            <w:tcW w:w="1705" w:type="dxa"/>
            <w:vAlign w:val="center"/>
          </w:tcPr>
          <w:p w14:paraId="3D36DF4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规范编写</w:t>
            </w:r>
          </w:p>
        </w:tc>
      </w:tr>
      <w:tr w14:paraId="1AD90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7E20DA6A">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王吉庆</w:t>
            </w:r>
          </w:p>
        </w:tc>
        <w:tc>
          <w:tcPr>
            <w:tcW w:w="926" w:type="dxa"/>
            <w:vAlign w:val="center"/>
          </w:tcPr>
          <w:p w14:paraId="209BFCFE">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男</w:t>
            </w:r>
          </w:p>
        </w:tc>
        <w:tc>
          <w:tcPr>
            <w:tcW w:w="1825" w:type="dxa"/>
            <w:vAlign w:val="center"/>
          </w:tcPr>
          <w:p w14:paraId="7437E128">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工程师</w:t>
            </w:r>
          </w:p>
        </w:tc>
        <w:tc>
          <w:tcPr>
            <w:tcW w:w="2362" w:type="dxa"/>
            <w:vAlign w:val="center"/>
          </w:tcPr>
          <w:p w14:paraId="73015DC5">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江西省交通投资集团有限责任公司</w:t>
            </w:r>
          </w:p>
        </w:tc>
        <w:tc>
          <w:tcPr>
            <w:tcW w:w="1705" w:type="dxa"/>
            <w:vAlign w:val="center"/>
          </w:tcPr>
          <w:p w14:paraId="298666D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规范编写</w:t>
            </w:r>
          </w:p>
        </w:tc>
      </w:tr>
      <w:tr w14:paraId="29EBE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629BD6CD">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肖刚</w:t>
            </w:r>
          </w:p>
        </w:tc>
        <w:tc>
          <w:tcPr>
            <w:tcW w:w="926" w:type="dxa"/>
            <w:vAlign w:val="center"/>
          </w:tcPr>
          <w:p w14:paraId="23948337">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男</w:t>
            </w:r>
          </w:p>
        </w:tc>
        <w:tc>
          <w:tcPr>
            <w:tcW w:w="1825" w:type="dxa"/>
            <w:vAlign w:val="center"/>
          </w:tcPr>
          <w:p w14:paraId="234B8253">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高级工程师</w:t>
            </w:r>
          </w:p>
        </w:tc>
        <w:tc>
          <w:tcPr>
            <w:tcW w:w="2362" w:type="dxa"/>
            <w:vAlign w:val="center"/>
          </w:tcPr>
          <w:p w14:paraId="439D5436">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江西省交通投资集团有限责任公司</w:t>
            </w:r>
          </w:p>
        </w:tc>
        <w:tc>
          <w:tcPr>
            <w:tcW w:w="1705" w:type="dxa"/>
            <w:vAlign w:val="center"/>
          </w:tcPr>
          <w:p w14:paraId="2F4FEB82">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规范编写</w:t>
            </w:r>
          </w:p>
        </w:tc>
      </w:tr>
      <w:tr w14:paraId="0C780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4BC96582">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张小波</w:t>
            </w:r>
          </w:p>
        </w:tc>
        <w:tc>
          <w:tcPr>
            <w:tcW w:w="926" w:type="dxa"/>
            <w:vAlign w:val="center"/>
          </w:tcPr>
          <w:p w14:paraId="4A157F59">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男</w:t>
            </w:r>
          </w:p>
        </w:tc>
        <w:tc>
          <w:tcPr>
            <w:tcW w:w="1825" w:type="dxa"/>
            <w:vAlign w:val="center"/>
          </w:tcPr>
          <w:p w14:paraId="52F4A37E">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副教授</w:t>
            </w:r>
          </w:p>
        </w:tc>
        <w:tc>
          <w:tcPr>
            <w:tcW w:w="2362" w:type="dxa"/>
            <w:vAlign w:val="center"/>
          </w:tcPr>
          <w:p w14:paraId="19F7160B">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南昌大学</w:t>
            </w:r>
          </w:p>
        </w:tc>
        <w:tc>
          <w:tcPr>
            <w:tcW w:w="1705" w:type="dxa"/>
            <w:vAlign w:val="center"/>
          </w:tcPr>
          <w:p w14:paraId="4CDBAE6E">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规范编写</w:t>
            </w:r>
          </w:p>
        </w:tc>
      </w:tr>
      <w:tr w14:paraId="478F4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1235F5E7">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王磊</w:t>
            </w:r>
          </w:p>
        </w:tc>
        <w:tc>
          <w:tcPr>
            <w:tcW w:w="926" w:type="dxa"/>
            <w:vAlign w:val="center"/>
          </w:tcPr>
          <w:p w14:paraId="44AA1E8A">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男</w:t>
            </w:r>
          </w:p>
        </w:tc>
        <w:tc>
          <w:tcPr>
            <w:tcW w:w="1825" w:type="dxa"/>
            <w:vAlign w:val="center"/>
          </w:tcPr>
          <w:p w14:paraId="1E99529F">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高级工程师</w:t>
            </w:r>
          </w:p>
        </w:tc>
        <w:tc>
          <w:tcPr>
            <w:tcW w:w="2362" w:type="dxa"/>
            <w:vAlign w:val="center"/>
          </w:tcPr>
          <w:p w14:paraId="45DF504F">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江西省公路工程有限责任公司</w:t>
            </w:r>
          </w:p>
        </w:tc>
        <w:tc>
          <w:tcPr>
            <w:tcW w:w="1705" w:type="dxa"/>
            <w:vAlign w:val="center"/>
          </w:tcPr>
          <w:p w14:paraId="563DFA9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规范编写</w:t>
            </w:r>
          </w:p>
        </w:tc>
      </w:tr>
      <w:tr w14:paraId="353B3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55C272E3">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钟有来</w:t>
            </w:r>
          </w:p>
        </w:tc>
        <w:tc>
          <w:tcPr>
            <w:tcW w:w="926" w:type="dxa"/>
            <w:vAlign w:val="center"/>
          </w:tcPr>
          <w:p w14:paraId="19C732FF">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男</w:t>
            </w:r>
          </w:p>
        </w:tc>
        <w:tc>
          <w:tcPr>
            <w:tcW w:w="1825" w:type="dxa"/>
            <w:vAlign w:val="center"/>
          </w:tcPr>
          <w:p w14:paraId="50615409">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工程师</w:t>
            </w:r>
          </w:p>
        </w:tc>
        <w:tc>
          <w:tcPr>
            <w:tcW w:w="2362" w:type="dxa"/>
            <w:vAlign w:val="center"/>
          </w:tcPr>
          <w:p w14:paraId="22AAB19D">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江西省公路工程有限责任公司</w:t>
            </w:r>
          </w:p>
        </w:tc>
        <w:tc>
          <w:tcPr>
            <w:tcW w:w="1705" w:type="dxa"/>
            <w:vAlign w:val="center"/>
          </w:tcPr>
          <w:p w14:paraId="2C142D97">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试验论证</w:t>
            </w:r>
          </w:p>
        </w:tc>
      </w:tr>
      <w:tr w14:paraId="63953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64F9EFA7">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段君义</w:t>
            </w:r>
          </w:p>
        </w:tc>
        <w:tc>
          <w:tcPr>
            <w:tcW w:w="926" w:type="dxa"/>
            <w:vAlign w:val="center"/>
          </w:tcPr>
          <w:p w14:paraId="56B5CB02">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男</w:t>
            </w:r>
          </w:p>
        </w:tc>
        <w:tc>
          <w:tcPr>
            <w:tcW w:w="1825" w:type="dxa"/>
            <w:vAlign w:val="center"/>
          </w:tcPr>
          <w:p w14:paraId="6AC41471">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讲师</w:t>
            </w:r>
          </w:p>
        </w:tc>
        <w:tc>
          <w:tcPr>
            <w:tcW w:w="2362" w:type="dxa"/>
            <w:vAlign w:val="center"/>
          </w:tcPr>
          <w:p w14:paraId="1192B994">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南昌大学</w:t>
            </w:r>
          </w:p>
        </w:tc>
        <w:tc>
          <w:tcPr>
            <w:tcW w:w="1705" w:type="dxa"/>
            <w:vAlign w:val="center"/>
          </w:tcPr>
          <w:p w14:paraId="5D8E341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实验研究</w:t>
            </w:r>
          </w:p>
        </w:tc>
      </w:tr>
      <w:tr w14:paraId="62977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249BE049">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粟雨</w:t>
            </w:r>
          </w:p>
        </w:tc>
        <w:tc>
          <w:tcPr>
            <w:tcW w:w="926" w:type="dxa"/>
            <w:vAlign w:val="center"/>
          </w:tcPr>
          <w:p w14:paraId="5ECE8EDF">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男</w:t>
            </w:r>
          </w:p>
        </w:tc>
        <w:tc>
          <w:tcPr>
            <w:tcW w:w="1825" w:type="dxa"/>
            <w:vAlign w:val="center"/>
          </w:tcPr>
          <w:p w14:paraId="3E4C879D">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讲师</w:t>
            </w:r>
          </w:p>
        </w:tc>
        <w:tc>
          <w:tcPr>
            <w:tcW w:w="2362" w:type="dxa"/>
            <w:vAlign w:val="center"/>
          </w:tcPr>
          <w:p w14:paraId="4C608C18">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南昌大学</w:t>
            </w:r>
          </w:p>
        </w:tc>
        <w:tc>
          <w:tcPr>
            <w:tcW w:w="1705" w:type="dxa"/>
            <w:vAlign w:val="center"/>
          </w:tcPr>
          <w:p w14:paraId="3DAA955A">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实验研究</w:t>
            </w:r>
          </w:p>
        </w:tc>
      </w:tr>
      <w:tr w14:paraId="4FD76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265A0A31">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马永力</w:t>
            </w:r>
          </w:p>
        </w:tc>
        <w:tc>
          <w:tcPr>
            <w:tcW w:w="926" w:type="dxa"/>
            <w:vAlign w:val="center"/>
          </w:tcPr>
          <w:p w14:paraId="3E23FA95">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男</w:t>
            </w:r>
          </w:p>
        </w:tc>
        <w:tc>
          <w:tcPr>
            <w:tcW w:w="1825" w:type="dxa"/>
            <w:vAlign w:val="center"/>
          </w:tcPr>
          <w:p w14:paraId="61F22C14">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讲师</w:t>
            </w:r>
          </w:p>
        </w:tc>
        <w:tc>
          <w:tcPr>
            <w:tcW w:w="2362" w:type="dxa"/>
            <w:vAlign w:val="center"/>
          </w:tcPr>
          <w:p w14:paraId="17E8E587">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南昌大学</w:t>
            </w:r>
          </w:p>
        </w:tc>
        <w:tc>
          <w:tcPr>
            <w:tcW w:w="1705" w:type="dxa"/>
            <w:vAlign w:val="center"/>
          </w:tcPr>
          <w:p w14:paraId="22C186F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实验研究</w:t>
            </w:r>
          </w:p>
        </w:tc>
      </w:tr>
      <w:tr w14:paraId="338C4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4407BA75">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曹林辉</w:t>
            </w:r>
          </w:p>
        </w:tc>
        <w:tc>
          <w:tcPr>
            <w:tcW w:w="926" w:type="dxa"/>
            <w:vAlign w:val="center"/>
          </w:tcPr>
          <w:p w14:paraId="0CB4F58E">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男</w:t>
            </w:r>
          </w:p>
        </w:tc>
        <w:tc>
          <w:tcPr>
            <w:tcW w:w="1825" w:type="dxa"/>
            <w:vAlign w:val="center"/>
          </w:tcPr>
          <w:p w14:paraId="56240B80">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高级工程师</w:t>
            </w:r>
          </w:p>
        </w:tc>
        <w:tc>
          <w:tcPr>
            <w:tcW w:w="2362" w:type="dxa"/>
            <w:vAlign w:val="center"/>
          </w:tcPr>
          <w:p w14:paraId="21E854EC">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江西赣粤高速公路股份有限公司</w:t>
            </w:r>
          </w:p>
        </w:tc>
        <w:tc>
          <w:tcPr>
            <w:tcW w:w="1705" w:type="dxa"/>
            <w:vAlign w:val="center"/>
          </w:tcPr>
          <w:p w14:paraId="65647FE2">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协助编写</w:t>
            </w:r>
          </w:p>
        </w:tc>
      </w:tr>
      <w:tr w14:paraId="1D3BA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2EDB152C">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许峥</w:t>
            </w:r>
          </w:p>
        </w:tc>
        <w:tc>
          <w:tcPr>
            <w:tcW w:w="926" w:type="dxa"/>
            <w:vAlign w:val="center"/>
          </w:tcPr>
          <w:p w14:paraId="6F1FBC9D">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男</w:t>
            </w:r>
          </w:p>
        </w:tc>
        <w:tc>
          <w:tcPr>
            <w:tcW w:w="1825" w:type="dxa"/>
            <w:vAlign w:val="center"/>
          </w:tcPr>
          <w:p w14:paraId="7F4C9512">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工程师</w:t>
            </w:r>
          </w:p>
        </w:tc>
        <w:tc>
          <w:tcPr>
            <w:tcW w:w="2362" w:type="dxa"/>
            <w:vAlign w:val="center"/>
          </w:tcPr>
          <w:p w14:paraId="47FB1E5E">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江西省艺通园林绿化有限公司</w:t>
            </w:r>
          </w:p>
        </w:tc>
        <w:tc>
          <w:tcPr>
            <w:tcW w:w="1705" w:type="dxa"/>
            <w:vAlign w:val="center"/>
          </w:tcPr>
          <w:p w14:paraId="66CF93E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协助编写</w:t>
            </w:r>
          </w:p>
        </w:tc>
      </w:tr>
      <w:tr w14:paraId="2BDA3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2870DC57">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余晓勤</w:t>
            </w:r>
          </w:p>
        </w:tc>
        <w:tc>
          <w:tcPr>
            <w:tcW w:w="926" w:type="dxa"/>
            <w:vAlign w:val="center"/>
          </w:tcPr>
          <w:p w14:paraId="4432035B">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男</w:t>
            </w:r>
          </w:p>
        </w:tc>
        <w:tc>
          <w:tcPr>
            <w:tcW w:w="1825" w:type="dxa"/>
            <w:vAlign w:val="center"/>
          </w:tcPr>
          <w:p w14:paraId="67E5F095">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助理工程师</w:t>
            </w:r>
          </w:p>
        </w:tc>
        <w:tc>
          <w:tcPr>
            <w:tcW w:w="2362" w:type="dxa"/>
            <w:vAlign w:val="center"/>
          </w:tcPr>
          <w:p w14:paraId="47B4B43B">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江西省艺通园林绿化有限公司</w:t>
            </w:r>
          </w:p>
        </w:tc>
        <w:tc>
          <w:tcPr>
            <w:tcW w:w="1705" w:type="dxa"/>
            <w:vAlign w:val="center"/>
          </w:tcPr>
          <w:p w14:paraId="3720919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资料整理</w:t>
            </w:r>
          </w:p>
        </w:tc>
      </w:tr>
      <w:tr w14:paraId="02D73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58742F45">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李仁杰</w:t>
            </w:r>
          </w:p>
        </w:tc>
        <w:tc>
          <w:tcPr>
            <w:tcW w:w="926" w:type="dxa"/>
            <w:vAlign w:val="center"/>
          </w:tcPr>
          <w:p w14:paraId="499EEE4E">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男</w:t>
            </w:r>
          </w:p>
        </w:tc>
        <w:tc>
          <w:tcPr>
            <w:tcW w:w="1825" w:type="dxa"/>
            <w:vAlign w:val="center"/>
          </w:tcPr>
          <w:p w14:paraId="38A9F087">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高级工程师</w:t>
            </w:r>
          </w:p>
        </w:tc>
        <w:tc>
          <w:tcPr>
            <w:tcW w:w="2362" w:type="dxa"/>
            <w:vAlign w:val="center"/>
          </w:tcPr>
          <w:p w14:paraId="58DC4246">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山东电力工程咨询院有限公司</w:t>
            </w:r>
          </w:p>
        </w:tc>
        <w:tc>
          <w:tcPr>
            <w:tcW w:w="1705" w:type="dxa"/>
            <w:vAlign w:val="center"/>
          </w:tcPr>
          <w:p w14:paraId="51C31F4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资料整理</w:t>
            </w:r>
          </w:p>
        </w:tc>
      </w:tr>
      <w:tr w14:paraId="1E5F9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704" w:type="dxa"/>
            <w:vAlign w:val="center"/>
          </w:tcPr>
          <w:p w14:paraId="368A054D">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陈卫兵</w:t>
            </w:r>
          </w:p>
        </w:tc>
        <w:tc>
          <w:tcPr>
            <w:tcW w:w="926" w:type="dxa"/>
            <w:vAlign w:val="center"/>
          </w:tcPr>
          <w:p w14:paraId="5152B1C4">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男</w:t>
            </w:r>
          </w:p>
        </w:tc>
        <w:tc>
          <w:tcPr>
            <w:tcW w:w="1825" w:type="dxa"/>
            <w:vAlign w:val="center"/>
          </w:tcPr>
          <w:p w14:paraId="187BAF5D">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高级工程师</w:t>
            </w:r>
          </w:p>
        </w:tc>
        <w:tc>
          <w:tcPr>
            <w:tcW w:w="2362" w:type="dxa"/>
            <w:vAlign w:val="center"/>
          </w:tcPr>
          <w:p w14:paraId="1035129C">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山东电力工程咨询院有限公司</w:t>
            </w:r>
          </w:p>
        </w:tc>
        <w:tc>
          <w:tcPr>
            <w:tcW w:w="1705" w:type="dxa"/>
            <w:vAlign w:val="center"/>
          </w:tcPr>
          <w:p w14:paraId="62B55DE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资料整理</w:t>
            </w:r>
          </w:p>
        </w:tc>
      </w:tr>
      <w:tr w14:paraId="72CC5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7BD924D1">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江浩</w:t>
            </w:r>
          </w:p>
        </w:tc>
        <w:tc>
          <w:tcPr>
            <w:tcW w:w="926" w:type="dxa"/>
            <w:vAlign w:val="center"/>
          </w:tcPr>
          <w:p w14:paraId="2114E0E7">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男</w:t>
            </w:r>
          </w:p>
        </w:tc>
        <w:tc>
          <w:tcPr>
            <w:tcW w:w="1825" w:type="dxa"/>
            <w:vAlign w:val="center"/>
          </w:tcPr>
          <w:p w14:paraId="5B928F6F">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高级工程师</w:t>
            </w:r>
          </w:p>
        </w:tc>
        <w:tc>
          <w:tcPr>
            <w:tcW w:w="2362" w:type="dxa"/>
            <w:vAlign w:val="center"/>
          </w:tcPr>
          <w:p w14:paraId="4E3F0507">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center"/>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山东电力工程咨询院有限公司</w:t>
            </w:r>
          </w:p>
        </w:tc>
        <w:tc>
          <w:tcPr>
            <w:tcW w:w="1705" w:type="dxa"/>
            <w:vAlign w:val="center"/>
          </w:tcPr>
          <w:p w14:paraId="7ED0133A">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sz w:val="24"/>
                <w:szCs w:val="24"/>
                <w:vertAlign w:val="baseline"/>
              </w:rPr>
            </w:pPr>
            <w:r>
              <w:rPr>
                <w:rFonts w:hint="eastAsia" w:ascii="仿宋" w:hAnsi="仿宋" w:eastAsia="仿宋" w:cs="仿宋"/>
                <w:i w:val="0"/>
                <w:iCs w:val="0"/>
                <w:color w:val="000000"/>
                <w:kern w:val="0"/>
                <w:sz w:val="24"/>
                <w:szCs w:val="24"/>
                <w:u w:val="none"/>
                <w:lang w:val="en-US" w:eastAsia="zh-CN" w:bidi="ar"/>
              </w:rPr>
              <w:t>资料整理</w:t>
            </w:r>
          </w:p>
        </w:tc>
      </w:tr>
    </w:tbl>
    <w:p w14:paraId="4C97024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jc w:val="left"/>
        <w:textAlignment w:val="auto"/>
        <w:rPr>
          <w:rFonts w:hint="eastAsia"/>
          <w:sz w:val="32"/>
          <w:szCs w:val="32"/>
        </w:rPr>
      </w:pPr>
    </w:p>
    <w:p w14:paraId="6A179A4E">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textAlignment w:val="auto"/>
        <w:outlineLvl w:val="0"/>
        <w:rPr>
          <w:rFonts w:ascii="黑体" w:eastAsia="黑体"/>
          <w:color w:val="000000"/>
          <w:sz w:val="32"/>
          <w:szCs w:val="32"/>
        </w:rPr>
      </w:pPr>
    </w:p>
    <w:p w14:paraId="5FAA80A0">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textAlignment w:val="auto"/>
        <w:outlineLvl w:val="0"/>
        <w:rPr>
          <w:rFonts w:ascii="黑体" w:eastAsia="黑体"/>
          <w:color w:val="000000"/>
          <w:sz w:val="32"/>
          <w:szCs w:val="32"/>
        </w:rPr>
      </w:pPr>
      <w:r>
        <w:rPr>
          <w:rFonts w:ascii="黑体" w:eastAsia="黑体"/>
          <w:color w:val="000000"/>
          <w:sz w:val="32"/>
          <w:szCs w:val="32"/>
        </w:rPr>
        <w:t>二、制定标准的必要性和意义</w:t>
      </w:r>
    </w:p>
    <w:p w14:paraId="28F599B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textAlignment w:val="auto"/>
        <w:outlineLvl w:val="0"/>
        <w:rPr>
          <w:rFonts w:hint="eastAsia"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面向建设资源节约型和环境友好型现代化社会的发展新要求，针对道路工程裸露边坡存在水土流失严重，易发生滑坡、崩塌等灾害，危害交通安全，开展裸露坡面的植被恢复、固土护坡、水土保持，对保持生态平衡，建设美绿高速、平安高速具有重要的意义。</w:t>
      </w:r>
    </w:p>
    <w:p w14:paraId="7E58112A">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textAlignment w:val="auto"/>
        <w:outlineLvl w:val="0"/>
        <w:rPr>
          <w:rFonts w:hint="eastAsia"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由南昌大学2022年首次提出了“共轭土”技术，充分利用生物基土结构营造剂改变土壤材料的亲水—疏水性质，并通过耦联、架桥和机械团聚等作用将其转化成多级多孔团粒体的一种人造土技术，这种土可以显著提高土壤生产力，并通过修改土体性质以适应不同的恶劣生态修复场景。可以极大地促进我国边坡生态修复技术的发展，有效解决目前研究重点大多是坡体加固材料的研究及护坡植物的选取上，即当下边坡生态修复的主要研究对象主要为外部因素，少有从坡体本身属性出发，真正通过对坡体土壤性质进行改良从而实现达到边坡的生态修复等难题。</w:t>
      </w:r>
    </w:p>
    <w:p w14:paraId="6C08FF88">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textAlignment w:val="auto"/>
        <w:outlineLvl w:val="0"/>
        <w:rPr>
          <w:rFonts w:hint="eastAsia"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道路工程建设产生的边坡一般地表裸露，地质不稳定，立地条件差，生态系统难以自然恢复，影响道路交通安全和路域生态环境。红砂岩主要集中分布在江西、湖南等中南部区域。红砂岩风化形成的土壤细粘，不保水，通透性差，且含不溶状态的钾、磷、钙较丰富，植物难以吸收。另外红砂岩吸热性强，夏季地表高温可达76℃，昼夜温差可达46</w:t>
      </w:r>
      <w:r>
        <w:rPr>
          <w:rFonts w:hint="eastAsia" w:ascii="宋体" w:hAnsi="宋体" w:cs="宋体"/>
          <w:color w:val="000000" w:themeColor="text1"/>
          <w:sz w:val="32"/>
          <w:szCs w:val="32"/>
          <w:lang w:val="en-US" w:eastAsia="zh-CN"/>
          <w14:textFill>
            <w14:solidFill>
              <w14:schemeClr w14:val="tx1"/>
            </w14:solidFill>
          </w14:textFill>
        </w:rPr>
        <w:t>.</w:t>
      </w:r>
      <w:r>
        <w:rPr>
          <w:rFonts w:hint="eastAsia" w:ascii="宋体" w:hAnsi="宋体" w:cs="宋体"/>
          <w:color w:val="000000" w:themeColor="text1"/>
          <w:sz w:val="32"/>
          <w:szCs w:val="32"/>
          <w14:textFill>
            <w14:solidFill>
              <w14:schemeClr w14:val="tx1"/>
            </w14:solidFill>
          </w14:textFill>
        </w:rPr>
        <w:t>8℃，日间高温急增，夜间散热快，土温变幅大，一般植物难以越夏，要在这些未经风化的土壤母质和母岩上实现快速绿化，并且实现红砂岩区域的道路工程边坡具备较高观赏价值的绿化美化效果，是存在较大困难的。此外，新开挖出的红砂岩边坡往往强度较高，但经过日晒雨淋后，节理很快发育，不久便有碎块剥落，强度迅速衰减，也给道路工程建设带来困难。因此，在公路建设中，做好红砂岩地段边坡的生态修复防护是营造绿色生态廊道工程带的重大挑战。</w:t>
      </w:r>
    </w:p>
    <w:p w14:paraId="697EFC57">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textAlignment w:val="auto"/>
        <w:outlineLvl w:val="0"/>
        <w:rPr>
          <w:rFonts w:hint="eastAsia"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目前国内外对道路工程路堑边坡及岩石边坡的植被生态修复研究都取得了很多建设性的成果，但专门针对红砂岩边坡生态修复的应用技术研究和探索性应用相对较少。我国尚无针对道路工程红砂岩裸露边坡生态修复技术相关的规范和标准，通过研发红砂岩微结构营造剂，提出红砂岩制备共轭土的各项参数及微调控技术，形成红砂岩边坡裸露面生态修复技术和工艺，制定一套完整的施工技术标准，为推动特殊工程裸露面生态修复技术标准化的实施，大幅度提升我省工程边坡裸露面的生态修复技术水平。</w:t>
      </w:r>
    </w:p>
    <w:p w14:paraId="162253D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textAlignment w:val="auto"/>
        <w:outlineLvl w:val="0"/>
        <w:rPr>
          <w:rFonts w:ascii="黑体" w:eastAsia="黑体"/>
          <w:color w:val="000000"/>
          <w:sz w:val="32"/>
          <w:szCs w:val="32"/>
        </w:rPr>
      </w:pPr>
      <w:r>
        <w:rPr>
          <w:rFonts w:hint="eastAsia" w:ascii="黑体" w:eastAsia="黑体"/>
          <w:color w:val="000000"/>
          <w:sz w:val="32"/>
          <w:szCs w:val="32"/>
        </w:rPr>
        <w:t>三、主要起草过程</w:t>
      </w:r>
    </w:p>
    <w:p w14:paraId="6F07D94D">
      <w:pPr>
        <w:pStyle w:val="9"/>
        <w:keepNext w:val="0"/>
        <w:keepLines w:val="0"/>
        <w:pageBreakBefore w:val="0"/>
        <w:widowControl w:val="0"/>
        <w:tabs>
          <w:tab w:val="clear" w:pos="231"/>
          <w:tab w:val="clear" w:pos="273"/>
          <w:tab w:val="clear" w:pos="425"/>
        </w:tabs>
        <w:kinsoku/>
        <w:wordWrap/>
        <w:overflowPunct/>
        <w:topLinePunct w:val="0"/>
        <w:autoSpaceDE/>
        <w:autoSpaceDN/>
        <w:bidi w:val="0"/>
        <w:adjustRightInd/>
        <w:snapToGrid/>
        <w:spacing w:before="0" w:beforeLines="0" w:after="0" w:afterLines="0" w:line="360" w:lineRule="auto"/>
        <w:ind w:left="0" w:firstLine="640" w:firstLineChars="200"/>
        <w:textAlignment w:val="auto"/>
        <w:rPr>
          <w:rFonts w:hint="eastAsia" w:ascii="宋体" w:hAnsi="宋体" w:cs="宋体"/>
          <w:sz w:val="32"/>
          <w:szCs w:val="32"/>
        </w:rPr>
      </w:pPr>
      <w:r>
        <w:rPr>
          <w:rFonts w:hint="eastAsia" w:ascii="宋体" w:hAnsi="宋体" w:cs="宋体"/>
          <w:sz w:val="32"/>
          <w:szCs w:val="32"/>
        </w:rPr>
        <w:t>江西省公路工程有限责任公司、江西艺通园林绿化有限公司</w:t>
      </w:r>
      <w:r>
        <w:rPr>
          <w:rFonts w:hint="eastAsia" w:ascii="宋体" w:hAnsi="宋体" w:cs="宋体"/>
          <w:sz w:val="32"/>
          <w:szCs w:val="32"/>
          <w:lang w:eastAsia="zh-CN"/>
        </w:rPr>
        <w:t>、</w:t>
      </w:r>
      <w:r>
        <w:rPr>
          <w:rFonts w:hint="eastAsia" w:ascii="宋体" w:hAnsi="宋体" w:cs="宋体"/>
          <w:sz w:val="32"/>
          <w:szCs w:val="32"/>
        </w:rPr>
        <w:t>南昌大学</w:t>
      </w:r>
      <w:r>
        <w:rPr>
          <w:rFonts w:hint="eastAsia" w:ascii="宋体" w:hAnsi="宋体" w:cs="宋体"/>
          <w:sz w:val="32"/>
          <w:szCs w:val="32"/>
          <w:lang w:eastAsia="zh-CN"/>
        </w:rPr>
        <w:t>和</w:t>
      </w:r>
      <w:r>
        <w:rPr>
          <w:rFonts w:hint="eastAsia"/>
          <w:sz w:val="32"/>
          <w:szCs w:val="32"/>
          <w:lang w:eastAsia="zh-CN"/>
        </w:rPr>
        <w:t>山东电力工程咨询院有限公司</w:t>
      </w:r>
      <w:bookmarkStart w:id="0" w:name="_GoBack"/>
      <w:bookmarkEnd w:id="0"/>
      <w:r>
        <w:rPr>
          <w:rFonts w:hint="eastAsia" w:ascii="宋体" w:hAnsi="宋体" w:cs="宋体"/>
          <w:sz w:val="32"/>
          <w:szCs w:val="32"/>
        </w:rPr>
        <w:t>组织专业技术人员，组建了标准起草工作小组。起草小组调研了国内外现行相关规范、标准，结合实际工程中成功案例，首先撰写了标准大纲，在此基础上经多轮次修改完善形成了标准初稿草案。</w:t>
      </w:r>
    </w:p>
    <w:p w14:paraId="5025550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jc w:val="left"/>
        <w:textAlignment w:val="auto"/>
        <w:rPr>
          <w:rFonts w:hint="eastAsia"/>
          <w:sz w:val="32"/>
          <w:szCs w:val="32"/>
        </w:rPr>
      </w:pPr>
      <w:r>
        <w:rPr>
          <w:rFonts w:hint="eastAsia"/>
          <w:sz w:val="32"/>
          <w:szCs w:val="32"/>
          <w:lang w:val="en-US" w:eastAsia="zh-CN"/>
        </w:rPr>
        <w:t>2023年11月-2024年3月：《道路工程裸露边坡生态防护施工技术规范》标准编制组以会议形式进行标准编制启动会暨第一次标准编制会，讨论标准草案并制定工作计划，江西省公路工程有限责任公司、江西艺通园林绿化有限公司和南昌大学等单位共计12人参加了此次会议。对道路工程边坡的防护形式、生态修复技术和防护效果进行了技术交流和讨论。</w:t>
      </w:r>
      <w:r>
        <w:rPr>
          <w:rFonts w:hint="eastAsia"/>
          <w:sz w:val="32"/>
          <w:szCs w:val="32"/>
        </w:rPr>
        <w:t>编制会明确了标准的编制思路和编制原则，确定了标准的框架结构和主要技术内容，并依此编制标准草案。</w:t>
      </w:r>
    </w:p>
    <w:p w14:paraId="67A0B1EE">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jc w:val="left"/>
        <w:textAlignment w:val="auto"/>
        <w:rPr>
          <w:rFonts w:hint="eastAsia" w:eastAsia="宋体"/>
          <w:sz w:val="32"/>
          <w:szCs w:val="32"/>
          <w:lang w:eastAsia="zh-CN"/>
        </w:rPr>
      </w:pPr>
      <w:r>
        <w:rPr>
          <w:rFonts w:hint="eastAsia"/>
          <w:sz w:val="32"/>
          <w:szCs w:val="32"/>
        </w:rPr>
        <w:t>2024年</w:t>
      </w:r>
      <w:r>
        <w:rPr>
          <w:rFonts w:hint="eastAsia"/>
          <w:sz w:val="32"/>
          <w:szCs w:val="32"/>
          <w:lang w:val="en-US" w:eastAsia="zh-CN"/>
        </w:rPr>
        <w:t>4</w:t>
      </w:r>
      <w:r>
        <w:rPr>
          <w:rFonts w:hint="eastAsia"/>
          <w:sz w:val="32"/>
          <w:szCs w:val="32"/>
        </w:rPr>
        <w:t>月</w:t>
      </w:r>
      <w:r>
        <w:rPr>
          <w:rFonts w:hint="eastAsia"/>
          <w:sz w:val="32"/>
          <w:szCs w:val="32"/>
          <w:lang w:val="en-US" w:eastAsia="zh-CN"/>
        </w:rPr>
        <w:t>-6月</w:t>
      </w:r>
      <w:r>
        <w:rPr>
          <w:rFonts w:hint="eastAsia"/>
          <w:sz w:val="32"/>
          <w:szCs w:val="32"/>
        </w:rPr>
        <w:t>，标准编制组举行第二次标准编制会，就标准主要内容进行研讨，并针对标准适用范围、术语和定义、</w:t>
      </w:r>
      <w:r>
        <w:rPr>
          <w:rFonts w:hint="eastAsia"/>
          <w:sz w:val="32"/>
          <w:szCs w:val="32"/>
          <w:lang w:eastAsia="zh-CN"/>
        </w:rPr>
        <w:t>材料、施工和养护</w:t>
      </w:r>
      <w:r>
        <w:rPr>
          <w:rFonts w:hint="eastAsia"/>
          <w:sz w:val="32"/>
          <w:szCs w:val="32"/>
        </w:rPr>
        <w:t>等提出意见和建议。编制组认真依据意见，形成了标准初稿。</w:t>
      </w:r>
      <w:r>
        <w:rPr>
          <w:rFonts w:hint="eastAsia"/>
          <w:sz w:val="32"/>
          <w:szCs w:val="32"/>
          <w:lang w:eastAsia="zh-CN"/>
        </w:rPr>
        <w:t>标准初稿通过省交通运输厅审核后，并提交至省标准技术评审中心。</w:t>
      </w:r>
    </w:p>
    <w:p w14:paraId="295B58B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jc w:val="left"/>
        <w:textAlignment w:val="auto"/>
        <w:rPr>
          <w:rFonts w:hint="eastAsia"/>
          <w:sz w:val="32"/>
          <w:szCs w:val="32"/>
        </w:rPr>
      </w:pPr>
      <w:r>
        <w:rPr>
          <w:rFonts w:hint="eastAsia"/>
          <w:sz w:val="32"/>
          <w:szCs w:val="32"/>
        </w:rPr>
        <w:t>2024年</w:t>
      </w:r>
      <w:r>
        <w:rPr>
          <w:rFonts w:hint="eastAsia"/>
          <w:sz w:val="32"/>
          <w:szCs w:val="32"/>
          <w:lang w:val="en-US" w:eastAsia="zh-CN"/>
        </w:rPr>
        <w:t>7</w:t>
      </w:r>
      <w:r>
        <w:rPr>
          <w:rFonts w:hint="eastAsia"/>
          <w:sz w:val="32"/>
          <w:szCs w:val="32"/>
        </w:rPr>
        <w:t>月，组织召开江西省</w:t>
      </w:r>
      <w:r>
        <w:rPr>
          <w:rFonts w:hint="eastAsia"/>
          <w:sz w:val="32"/>
          <w:szCs w:val="32"/>
          <w:lang w:eastAsia="zh-CN"/>
        </w:rPr>
        <w:t>道路工程领域设计、施工和科研方面</w:t>
      </w:r>
      <w:r>
        <w:rPr>
          <w:rFonts w:hint="eastAsia"/>
          <w:sz w:val="32"/>
          <w:szCs w:val="32"/>
        </w:rPr>
        <w:t>专家会议，</w:t>
      </w:r>
      <w:r>
        <w:rPr>
          <w:rFonts w:hint="eastAsia"/>
          <w:sz w:val="32"/>
          <w:szCs w:val="32"/>
          <w:lang w:eastAsia="zh-CN"/>
        </w:rPr>
        <w:t>针对</w:t>
      </w:r>
      <w:r>
        <w:rPr>
          <w:rFonts w:hint="eastAsia"/>
          <w:sz w:val="32"/>
          <w:szCs w:val="32"/>
        </w:rPr>
        <w:t>标准的作用定位、主要内容</w:t>
      </w:r>
      <w:r>
        <w:rPr>
          <w:rFonts w:hint="eastAsia"/>
          <w:sz w:val="32"/>
          <w:szCs w:val="32"/>
          <w:lang w:eastAsia="zh-CN"/>
        </w:rPr>
        <w:t>和创新性</w:t>
      </w:r>
      <w:r>
        <w:rPr>
          <w:rFonts w:hint="eastAsia"/>
          <w:sz w:val="32"/>
          <w:szCs w:val="32"/>
        </w:rPr>
        <w:t>等关键问题进行研讨，形成征求意见稿及征求意见稿编制说明，向江西省市场监督管理局申请公示。</w:t>
      </w:r>
    </w:p>
    <w:p w14:paraId="4C6DE43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textAlignment w:val="auto"/>
        <w:outlineLvl w:val="0"/>
        <w:rPr>
          <w:rFonts w:ascii="黑体" w:eastAsia="黑体"/>
          <w:color w:val="000000"/>
          <w:sz w:val="32"/>
          <w:szCs w:val="32"/>
        </w:rPr>
      </w:pPr>
      <w:r>
        <w:rPr>
          <w:rFonts w:hint="eastAsia" w:ascii="黑体" w:eastAsia="黑体"/>
          <w:color w:val="000000"/>
          <w:sz w:val="32"/>
          <w:szCs w:val="32"/>
        </w:rPr>
        <w:t>四、制定标准的原则和依据</w:t>
      </w:r>
    </w:p>
    <w:p w14:paraId="21746FF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jc w:val="left"/>
        <w:textAlignment w:val="auto"/>
        <w:rPr>
          <w:rFonts w:hint="eastAsia"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本标准按照GB/T 1.1-20</w:t>
      </w:r>
      <w:r>
        <w:rPr>
          <w:rFonts w:ascii="宋体" w:hAnsi="宋体" w:cs="宋体"/>
          <w:color w:val="000000" w:themeColor="text1"/>
          <w:sz w:val="32"/>
          <w:szCs w:val="32"/>
          <w14:textFill>
            <w14:solidFill>
              <w14:schemeClr w14:val="tx1"/>
            </w14:solidFill>
          </w14:textFill>
        </w:rPr>
        <w:t>20</w:t>
      </w:r>
      <w:r>
        <w:rPr>
          <w:rFonts w:hint="eastAsia" w:ascii="宋体" w:hAnsi="宋体" w:cs="宋体"/>
          <w:color w:val="000000" w:themeColor="text1"/>
          <w:sz w:val="32"/>
          <w:szCs w:val="32"/>
          <w14:textFill>
            <w14:solidFill>
              <w14:schemeClr w14:val="tx1"/>
            </w14:solidFill>
          </w14:textFill>
        </w:rPr>
        <w:t>《标准化工作导则 第一部分：标准的结构和编写规则》给出的规则起草，规范性引用文件有</w:t>
      </w:r>
      <w:r>
        <w:rPr>
          <w:rFonts w:hint="eastAsia" w:ascii="宋体" w:hAnsi="宋体" w:eastAsia="宋体" w:cs="宋体"/>
          <w:color w:val="000000" w:themeColor="text1"/>
          <w:sz w:val="32"/>
          <w:szCs w:val="32"/>
          <w14:textFill>
            <w14:solidFill>
              <w14:schemeClr w14:val="tx1"/>
            </w14:solidFill>
          </w14:textFill>
        </w:rPr>
        <w:t>《GB/T 38360裸露坡面植被恢复技术规范》《</w:t>
      </w:r>
      <w:r>
        <w:rPr>
          <w:rFonts w:hint="eastAsia" w:ascii="宋体" w:hAnsi="宋体" w:eastAsia="宋体" w:cs="宋体"/>
          <w:color w:val="000000" w:themeColor="text1"/>
          <w:sz w:val="32"/>
          <w:szCs w:val="32"/>
          <w:lang w:eastAsia="zh-CN"/>
          <w14:textFill>
            <w14:solidFill>
              <w14:schemeClr w14:val="tx1"/>
            </w14:solidFill>
          </w14:textFill>
        </w:rPr>
        <w:t>JTG B01</w:t>
      </w:r>
      <w:r>
        <w:rPr>
          <w:rFonts w:hint="eastAsia" w:ascii="宋体" w:hAnsi="宋体" w:eastAsia="宋体" w:cs="宋体"/>
          <w:color w:val="000000" w:themeColor="text1"/>
          <w:sz w:val="32"/>
          <w:szCs w:val="32"/>
          <w:lang w:val="en-US" w:eastAsia="zh-CN"/>
          <w14:textFill>
            <w14:solidFill>
              <w14:schemeClr w14:val="tx1"/>
            </w14:solidFill>
          </w14:textFill>
        </w:rPr>
        <w:t xml:space="preserve"> </w:t>
      </w:r>
      <w:r>
        <w:rPr>
          <w:rFonts w:hint="eastAsia" w:ascii="宋体" w:hAnsi="宋体" w:eastAsia="宋体" w:cs="宋体"/>
          <w:color w:val="000000" w:themeColor="text1"/>
          <w:sz w:val="32"/>
          <w:szCs w:val="32"/>
          <w:lang w:eastAsia="zh-CN"/>
          <w14:textFill>
            <w14:solidFill>
              <w14:schemeClr w14:val="tx1"/>
            </w14:solidFill>
          </w14:textFill>
        </w:rPr>
        <w:t>公路工程技术标准</w:t>
      </w:r>
      <w:r>
        <w:rPr>
          <w:rFonts w:hint="eastAsia" w:ascii="宋体" w:hAnsi="宋体" w:eastAsia="宋体" w:cs="宋体"/>
          <w:color w:val="000000" w:themeColor="text1"/>
          <w:sz w:val="32"/>
          <w:szCs w:val="32"/>
          <w14:textFill>
            <w14:solidFill>
              <w14:schemeClr w14:val="tx1"/>
            </w14:solidFill>
          </w14:textFill>
        </w:rPr>
        <w:t>》《</w:t>
      </w:r>
      <w:r>
        <w:rPr>
          <w:rFonts w:hint="eastAsia" w:ascii="宋体" w:hAnsi="宋体" w:eastAsia="宋体" w:cs="宋体"/>
          <w:color w:val="000000" w:themeColor="text1"/>
          <w:sz w:val="32"/>
          <w:szCs w:val="32"/>
          <w:lang w:eastAsia="zh-CN"/>
          <w14:textFill>
            <w14:solidFill>
              <w14:schemeClr w14:val="tx1"/>
            </w14:solidFill>
          </w14:textFill>
        </w:rPr>
        <w:t>JTG B04</w:t>
      </w:r>
      <w:r>
        <w:rPr>
          <w:rFonts w:hint="eastAsia" w:ascii="宋体" w:hAnsi="宋体" w:eastAsia="宋体" w:cs="宋体"/>
          <w:color w:val="000000" w:themeColor="text1"/>
          <w:sz w:val="32"/>
          <w:szCs w:val="32"/>
          <w:lang w:val="en-US" w:eastAsia="zh-CN"/>
          <w14:textFill>
            <w14:solidFill>
              <w14:schemeClr w14:val="tx1"/>
            </w14:solidFill>
          </w14:textFill>
        </w:rPr>
        <w:t xml:space="preserve"> </w:t>
      </w:r>
      <w:r>
        <w:rPr>
          <w:rFonts w:hint="eastAsia" w:ascii="宋体" w:hAnsi="宋体" w:eastAsia="宋体" w:cs="宋体"/>
          <w:color w:val="000000" w:themeColor="text1"/>
          <w:sz w:val="32"/>
          <w:szCs w:val="32"/>
          <w:lang w:eastAsia="zh-CN"/>
          <w14:textFill>
            <w14:solidFill>
              <w14:schemeClr w14:val="tx1"/>
            </w14:solidFill>
          </w14:textFill>
        </w:rPr>
        <w:t>公路环境保护设计规范</w:t>
      </w:r>
      <w:r>
        <w:rPr>
          <w:rFonts w:hint="eastAsia" w:ascii="宋体" w:hAnsi="宋体" w:eastAsia="宋体" w:cs="宋体"/>
          <w:color w:val="000000" w:themeColor="text1"/>
          <w:sz w:val="32"/>
          <w:szCs w:val="32"/>
          <w14:textFill>
            <w14:solidFill>
              <w14:schemeClr w14:val="tx1"/>
            </w14:solidFill>
          </w14:textFill>
        </w:rPr>
        <w:t>》</w:t>
      </w:r>
      <w:r>
        <w:rPr>
          <w:rFonts w:hint="eastAsia" w:ascii="宋体" w:hAnsi="宋体" w:eastAsia="宋体" w:cs="宋体"/>
          <w:color w:val="000000" w:themeColor="text1"/>
          <w:sz w:val="32"/>
          <w:szCs w:val="32"/>
          <w:lang w:eastAsia="zh-CN"/>
          <w14:textFill>
            <w14:solidFill>
              <w14:schemeClr w14:val="tx1"/>
            </w14:solidFill>
          </w14:textFill>
        </w:rPr>
        <w:t>《</w:t>
      </w:r>
      <w:r>
        <w:rPr>
          <w:rFonts w:hint="eastAsia" w:ascii="宋体" w:hAnsi="宋体" w:eastAsia="宋体" w:cs="宋体"/>
          <w:color w:val="000000" w:themeColor="text1"/>
          <w:sz w:val="32"/>
          <w:szCs w:val="32"/>
          <w14:textFill>
            <w14:solidFill>
              <w14:schemeClr w14:val="tx1"/>
            </w14:solidFill>
          </w14:textFill>
        </w:rPr>
        <w:t>JTJ F10</w:t>
      </w:r>
      <w:r>
        <w:rPr>
          <w:rFonts w:hint="eastAsia" w:ascii="宋体" w:hAnsi="宋体" w:eastAsia="宋体" w:cs="宋体"/>
          <w:color w:val="000000" w:themeColor="text1"/>
          <w:sz w:val="32"/>
          <w:szCs w:val="32"/>
          <w:lang w:val="en-US" w:eastAsia="zh-CN"/>
          <w14:textFill>
            <w14:solidFill>
              <w14:schemeClr w14:val="tx1"/>
            </w14:solidFill>
          </w14:textFill>
        </w:rPr>
        <w:t xml:space="preserve"> </w:t>
      </w:r>
      <w:r>
        <w:rPr>
          <w:rFonts w:hint="eastAsia" w:ascii="宋体" w:hAnsi="宋体" w:eastAsia="宋体" w:cs="宋体"/>
          <w:color w:val="000000" w:themeColor="text1"/>
          <w:sz w:val="32"/>
          <w:szCs w:val="32"/>
          <w14:textFill>
            <w14:solidFill>
              <w14:schemeClr w14:val="tx1"/>
            </w14:solidFill>
          </w14:textFill>
        </w:rPr>
        <w:t>公路路基施工技术规范</w:t>
      </w:r>
      <w:r>
        <w:rPr>
          <w:rFonts w:hint="eastAsia" w:ascii="宋体" w:hAnsi="宋体" w:eastAsia="宋体" w:cs="宋体"/>
          <w:color w:val="000000" w:themeColor="text1"/>
          <w:sz w:val="32"/>
          <w:szCs w:val="32"/>
          <w:lang w:eastAsia="zh-CN"/>
          <w14:textFill>
            <w14:solidFill>
              <w14:schemeClr w14:val="tx1"/>
            </w14:solidFill>
          </w14:textFill>
        </w:rPr>
        <w:t>》</w:t>
      </w:r>
      <w:r>
        <w:rPr>
          <w:rFonts w:hint="eastAsia" w:ascii="宋体" w:hAnsi="宋体" w:eastAsia="宋体" w:cs="宋体"/>
          <w:color w:val="000000" w:themeColor="text1"/>
          <w:sz w:val="32"/>
          <w:szCs w:val="32"/>
          <w14:textFill>
            <w14:solidFill>
              <w14:schemeClr w14:val="tx1"/>
            </w14:solidFill>
          </w14:textFill>
        </w:rPr>
        <w:t>《GB/T50123</w:t>
      </w:r>
      <w:r>
        <w:rPr>
          <w:rFonts w:hint="eastAsia" w:ascii="宋体" w:hAnsi="宋体" w:eastAsia="宋体" w:cs="宋体"/>
          <w:color w:val="000000" w:themeColor="text1"/>
          <w:sz w:val="32"/>
          <w:szCs w:val="32"/>
          <w:lang w:val="en-US" w:eastAsia="zh-CN"/>
          <w14:textFill>
            <w14:solidFill>
              <w14:schemeClr w14:val="tx1"/>
            </w14:solidFill>
          </w14:textFill>
        </w:rPr>
        <w:t xml:space="preserve"> </w:t>
      </w:r>
      <w:r>
        <w:rPr>
          <w:rFonts w:hint="eastAsia" w:ascii="宋体" w:hAnsi="宋体" w:eastAsia="宋体" w:cs="宋体"/>
          <w:color w:val="000000" w:themeColor="text1"/>
          <w:sz w:val="32"/>
          <w:szCs w:val="32"/>
          <w14:textFill>
            <w14:solidFill>
              <w14:schemeClr w14:val="tx1"/>
            </w14:solidFill>
          </w14:textFill>
        </w:rPr>
        <w:t>土工试验方法标准》《JTG F80</w:t>
      </w:r>
      <w:r>
        <w:rPr>
          <w:rFonts w:hint="eastAsia" w:ascii="宋体" w:hAnsi="宋体" w:eastAsia="宋体" w:cs="宋体"/>
          <w:color w:val="000000" w:themeColor="text1"/>
          <w:sz w:val="32"/>
          <w:szCs w:val="32"/>
          <w:lang w:val="en-US" w:eastAsia="zh-CN"/>
          <w14:textFill>
            <w14:solidFill>
              <w14:schemeClr w14:val="tx1"/>
            </w14:solidFill>
          </w14:textFill>
        </w:rPr>
        <w:t>/</w:t>
      </w:r>
      <w:r>
        <w:rPr>
          <w:rFonts w:hint="eastAsia" w:ascii="宋体" w:hAnsi="宋体" w:eastAsia="宋体" w:cs="宋体"/>
          <w:color w:val="000000" w:themeColor="text1"/>
          <w:sz w:val="32"/>
          <w:szCs w:val="32"/>
          <w14:textFill>
            <w14:solidFill>
              <w14:schemeClr w14:val="tx1"/>
            </w14:solidFill>
          </w14:textFill>
        </w:rPr>
        <w:t>1 公路工程质量检验评定标准》《JTG B04</w:t>
      </w:r>
      <w:r>
        <w:rPr>
          <w:rFonts w:hint="eastAsia" w:ascii="宋体" w:hAnsi="宋体" w:eastAsia="宋体" w:cs="宋体"/>
          <w:color w:val="000000" w:themeColor="text1"/>
          <w:sz w:val="32"/>
          <w:szCs w:val="32"/>
          <w:lang w:val="en-US" w:eastAsia="zh-CN"/>
          <w14:textFill>
            <w14:solidFill>
              <w14:schemeClr w14:val="tx1"/>
            </w14:solidFill>
          </w14:textFill>
        </w:rPr>
        <w:t xml:space="preserve"> </w:t>
      </w:r>
      <w:r>
        <w:rPr>
          <w:rFonts w:hint="eastAsia" w:ascii="宋体" w:hAnsi="宋体" w:eastAsia="宋体" w:cs="宋体"/>
          <w:color w:val="000000" w:themeColor="text1"/>
          <w:sz w:val="32"/>
          <w:szCs w:val="32"/>
          <w14:textFill>
            <w14:solidFill>
              <w14:schemeClr w14:val="tx1"/>
            </w14:solidFill>
          </w14:textFill>
        </w:rPr>
        <w:t>公路环境保护设计规范 》</w:t>
      </w:r>
      <w:r>
        <w:rPr>
          <w:rFonts w:hint="eastAsia" w:ascii="宋体" w:hAnsi="宋体" w:eastAsia="宋体" w:cs="宋体"/>
          <w:color w:val="000000" w:themeColor="text1"/>
          <w:sz w:val="32"/>
          <w:szCs w:val="32"/>
          <w:lang w:eastAsia="zh-CN"/>
          <w14:textFill>
            <w14:solidFill>
              <w14:schemeClr w14:val="tx1"/>
            </w14:solidFill>
          </w14:textFill>
        </w:rPr>
        <w:t>《GB 50330</w:t>
      </w:r>
      <w:r>
        <w:rPr>
          <w:rFonts w:hint="eastAsia" w:ascii="宋体" w:hAnsi="宋体" w:eastAsia="宋体" w:cs="宋体"/>
          <w:color w:val="000000" w:themeColor="text1"/>
          <w:sz w:val="32"/>
          <w:szCs w:val="32"/>
          <w:lang w:val="en-US" w:eastAsia="zh-CN"/>
          <w14:textFill>
            <w14:solidFill>
              <w14:schemeClr w14:val="tx1"/>
            </w14:solidFill>
          </w14:textFill>
        </w:rPr>
        <w:t xml:space="preserve"> </w:t>
      </w:r>
      <w:r>
        <w:rPr>
          <w:rFonts w:hint="eastAsia" w:ascii="宋体" w:hAnsi="宋体" w:eastAsia="宋体" w:cs="宋体"/>
          <w:color w:val="000000" w:themeColor="text1"/>
          <w:sz w:val="32"/>
          <w:szCs w:val="32"/>
          <w:lang w:eastAsia="zh-CN"/>
          <w14:textFill>
            <w14:solidFill>
              <w14:schemeClr w14:val="tx1"/>
            </w14:solidFill>
          </w14:textFill>
        </w:rPr>
        <w:t>建筑边坡工程技术规范》《</w:t>
      </w:r>
      <w:r>
        <w:rPr>
          <w:rFonts w:hint="eastAsia" w:ascii="宋体" w:hAnsi="宋体" w:eastAsia="宋体" w:cs="宋体"/>
          <w:color w:val="000000" w:themeColor="text1"/>
          <w:sz w:val="32"/>
          <w:szCs w:val="32"/>
          <w14:textFill>
            <w14:solidFill>
              <w14:schemeClr w14:val="tx1"/>
            </w14:solidFill>
          </w14:textFill>
        </w:rPr>
        <w:t>GB/T 17639</w:t>
      </w:r>
      <w:r>
        <w:rPr>
          <w:rFonts w:hint="eastAsia" w:ascii="宋体" w:hAnsi="宋体" w:eastAsia="宋体" w:cs="宋体"/>
          <w:color w:val="000000" w:themeColor="text1"/>
          <w:sz w:val="32"/>
          <w:szCs w:val="32"/>
          <w:lang w:val="en-US" w:eastAsia="zh-CN"/>
          <w14:textFill>
            <w14:solidFill>
              <w14:schemeClr w14:val="tx1"/>
            </w14:solidFill>
          </w14:textFill>
        </w:rPr>
        <w:t xml:space="preserve"> </w:t>
      </w:r>
      <w:r>
        <w:rPr>
          <w:rFonts w:hint="eastAsia" w:ascii="宋体" w:hAnsi="宋体" w:eastAsia="宋体" w:cs="宋体"/>
          <w:color w:val="000000" w:themeColor="text1"/>
          <w:sz w:val="32"/>
          <w:szCs w:val="32"/>
          <w14:textFill>
            <w14:solidFill>
              <w14:schemeClr w14:val="tx1"/>
            </w14:solidFill>
          </w14:textFill>
        </w:rPr>
        <w:t>土工合成材料 长丝纺粘针刺非织造土工布</w:t>
      </w:r>
      <w:r>
        <w:rPr>
          <w:rFonts w:hint="eastAsia" w:ascii="宋体" w:hAnsi="宋体" w:eastAsia="宋体" w:cs="宋体"/>
          <w:color w:val="000000" w:themeColor="text1"/>
          <w:sz w:val="32"/>
          <w:szCs w:val="32"/>
          <w:lang w:eastAsia="zh-CN"/>
          <w14:textFill>
            <w14:solidFill>
              <w14:schemeClr w14:val="tx1"/>
            </w14:solidFill>
          </w14:textFill>
        </w:rPr>
        <w:t>》《</w:t>
      </w:r>
      <w:r>
        <w:rPr>
          <w:rFonts w:hint="eastAsia" w:ascii="宋体" w:hAnsi="宋体" w:eastAsia="宋体" w:cs="宋体"/>
          <w:color w:val="000000" w:themeColor="text1"/>
          <w:sz w:val="32"/>
          <w:szCs w:val="32"/>
          <w14:textFill>
            <w14:solidFill>
              <w14:schemeClr w14:val="tx1"/>
            </w14:solidFill>
          </w14:textFill>
        </w:rPr>
        <w:t>JTG/TD 32</w:t>
      </w:r>
      <w:r>
        <w:rPr>
          <w:rFonts w:hint="eastAsia" w:ascii="宋体" w:hAnsi="宋体" w:eastAsia="宋体" w:cs="宋体"/>
          <w:color w:val="000000" w:themeColor="text1"/>
          <w:sz w:val="32"/>
          <w:szCs w:val="32"/>
          <w:lang w:val="en-US" w:eastAsia="zh-CN"/>
          <w14:textFill>
            <w14:solidFill>
              <w14:schemeClr w14:val="tx1"/>
            </w14:solidFill>
          </w14:textFill>
        </w:rPr>
        <w:t xml:space="preserve"> </w:t>
      </w:r>
      <w:r>
        <w:rPr>
          <w:rFonts w:hint="eastAsia" w:ascii="宋体" w:hAnsi="宋体" w:eastAsia="宋体" w:cs="宋体"/>
          <w:color w:val="000000" w:themeColor="text1"/>
          <w:sz w:val="32"/>
          <w:szCs w:val="32"/>
          <w14:textFill>
            <w14:solidFill>
              <w14:schemeClr w14:val="tx1"/>
            </w14:solidFill>
          </w14:textFill>
        </w:rPr>
        <w:t>公路土工合成材料应用技术规范</w:t>
      </w:r>
      <w:r>
        <w:rPr>
          <w:rFonts w:hint="eastAsia" w:ascii="宋体" w:hAnsi="宋体" w:eastAsia="宋体" w:cs="宋体"/>
          <w:color w:val="000000" w:themeColor="text1"/>
          <w:sz w:val="32"/>
          <w:szCs w:val="32"/>
          <w:lang w:eastAsia="zh-CN"/>
          <w14:textFill>
            <w14:solidFill>
              <w14:schemeClr w14:val="tx1"/>
            </w14:solidFill>
          </w14:textFill>
        </w:rPr>
        <w:t>》《CJJ/T292     边坡喷播绿化工程技术标准》《JGJ</w:t>
      </w:r>
      <w:r>
        <w:rPr>
          <w:rFonts w:hint="eastAsia" w:ascii="宋体" w:hAnsi="宋体" w:eastAsia="宋体" w:cs="宋体"/>
          <w:color w:val="000000" w:themeColor="text1"/>
          <w:sz w:val="32"/>
          <w:szCs w:val="32"/>
          <w:lang w:val="en-US" w:eastAsia="zh-CN"/>
          <w14:textFill>
            <w14:solidFill>
              <w14:schemeClr w14:val="tx1"/>
            </w14:solidFill>
          </w14:textFill>
        </w:rPr>
        <w:t xml:space="preserve"> </w:t>
      </w:r>
      <w:r>
        <w:rPr>
          <w:rFonts w:hint="eastAsia" w:ascii="宋体" w:hAnsi="宋体" w:eastAsia="宋体" w:cs="宋体"/>
          <w:color w:val="000000" w:themeColor="text1"/>
          <w:sz w:val="32"/>
          <w:szCs w:val="32"/>
          <w:lang w:eastAsia="zh-CN"/>
          <w14:textFill>
            <w14:solidFill>
              <w14:schemeClr w14:val="tx1"/>
            </w14:solidFill>
          </w14:textFill>
        </w:rPr>
        <w:t>46</w:t>
      </w:r>
      <w:r>
        <w:rPr>
          <w:rFonts w:hint="eastAsia" w:ascii="宋体" w:hAnsi="宋体" w:eastAsia="宋体" w:cs="宋体"/>
          <w:color w:val="000000" w:themeColor="text1"/>
          <w:sz w:val="32"/>
          <w:szCs w:val="32"/>
          <w:lang w:val="en-US" w:eastAsia="zh-CN"/>
          <w14:textFill>
            <w14:solidFill>
              <w14:schemeClr w14:val="tx1"/>
            </w14:solidFill>
          </w14:textFill>
        </w:rPr>
        <w:t xml:space="preserve"> </w:t>
      </w:r>
      <w:r>
        <w:rPr>
          <w:rFonts w:hint="eastAsia" w:ascii="宋体" w:hAnsi="宋体" w:eastAsia="宋体" w:cs="宋体"/>
          <w:color w:val="000000" w:themeColor="text1"/>
          <w:sz w:val="32"/>
          <w:szCs w:val="32"/>
          <w:lang w:eastAsia="zh-CN"/>
          <w14:textFill>
            <w14:solidFill>
              <w14:schemeClr w14:val="tx1"/>
            </w14:solidFill>
          </w14:textFill>
        </w:rPr>
        <w:t>施工现场临时用电安全技术规范》《JGJ 59</w:t>
      </w:r>
      <w:r>
        <w:rPr>
          <w:rFonts w:hint="eastAsia" w:ascii="宋体" w:hAnsi="宋体" w:eastAsia="宋体" w:cs="宋体"/>
          <w:color w:val="000000" w:themeColor="text1"/>
          <w:sz w:val="32"/>
          <w:szCs w:val="32"/>
          <w:lang w:val="en-US" w:eastAsia="zh-CN"/>
          <w14:textFill>
            <w14:solidFill>
              <w14:schemeClr w14:val="tx1"/>
            </w14:solidFill>
          </w14:textFill>
        </w:rPr>
        <w:t xml:space="preserve"> </w:t>
      </w:r>
      <w:r>
        <w:rPr>
          <w:rFonts w:hint="eastAsia" w:ascii="宋体" w:hAnsi="宋体" w:eastAsia="宋体" w:cs="宋体"/>
          <w:color w:val="000000" w:themeColor="text1"/>
          <w:sz w:val="32"/>
          <w:szCs w:val="32"/>
          <w:lang w:eastAsia="zh-CN"/>
          <w14:textFill>
            <w14:solidFill>
              <w14:schemeClr w14:val="tx1"/>
            </w14:solidFill>
          </w14:textFill>
        </w:rPr>
        <w:t>建筑施工安全检查标准》和《GB 50330</w:t>
      </w:r>
      <w:r>
        <w:rPr>
          <w:rFonts w:hint="eastAsia" w:ascii="宋体" w:hAnsi="宋体" w:eastAsia="宋体" w:cs="宋体"/>
          <w:color w:val="000000" w:themeColor="text1"/>
          <w:sz w:val="32"/>
          <w:szCs w:val="32"/>
          <w:lang w:val="en-US" w:eastAsia="zh-CN"/>
          <w14:textFill>
            <w14:solidFill>
              <w14:schemeClr w14:val="tx1"/>
            </w14:solidFill>
          </w14:textFill>
        </w:rPr>
        <w:t xml:space="preserve"> </w:t>
      </w:r>
      <w:r>
        <w:rPr>
          <w:rFonts w:hint="eastAsia" w:ascii="宋体" w:hAnsi="宋体" w:eastAsia="宋体" w:cs="宋体"/>
          <w:color w:val="000000" w:themeColor="text1"/>
          <w:sz w:val="32"/>
          <w:szCs w:val="32"/>
          <w:lang w:eastAsia="zh-CN"/>
          <w14:textFill>
            <w14:solidFill>
              <w14:schemeClr w14:val="tx1"/>
            </w14:solidFill>
          </w14:textFill>
        </w:rPr>
        <w:t>建筑边坡工程技术规范》</w:t>
      </w:r>
      <w:r>
        <w:rPr>
          <w:rFonts w:hint="eastAsia" w:ascii="宋体" w:hAnsi="宋体" w:eastAsia="宋体" w:cs="宋体"/>
          <w:color w:val="000000" w:themeColor="text1"/>
          <w:sz w:val="32"/>
          <w:szCs w:val="32"/>
          <w14:textFill>
            <w14:solidFill>
              <w14:schemeClr w14:val="tx1"/>
            </w14:solidFill>
          </w14:textFill>
        </w:rPr>
        <w:t>等。按照科学性、规范性、可操作性的编制原则，给出了</w:t>
      </w:r>
      <w:r>
        <w:rPr>
          <w:rFonts w:hint="eastAsia" w:ascii="宋体" w:hAnsi="宋体" w:eastAsia="宋体" w:cs="宋体"/>
          <w:color w:val="000000" w:themeColor="text1"/>
          <w:sz w:val="32"/>
          <w:szCs w:val="32"/>
          <w:lang w:eastAsia="zh-CN"/>
          <w14:textFill>
            <w14:solidFill>
              <w14:schemeClr w14:val="tx1"/>
            </w14:solidFill>
          </w14:textFill>
        </w:rPr>
        <w:t>道路工程红砂岩裸露边坡生态修复</w:t>
      </w:r>
      <w:r>
        <w:rPr>
          <w:rFonts w:hint="eastAsia" w:ascii="宋体" w:hAnsi="宋体" w:eastAsia="宋体" w:cs="宋体"/>
          <w:color w:val="000000" w:themeColor="text1"/>
          <w:sz w:val="32"/>
          <w:szCs w:val="32"/>
          <w14:textFill>
            <w14:solidFill>
              <w14:schemeClr w14:val="tx1"/>
            </w14:solidFill>
          </w14:textFill>
        </w:rPr>
        <w:t>施工技术的相关要求</w:t>
      </w:r>
      <w:r>
        <w:rPr>
          <w:rFonts w:hint="eastAsia" w:ascii="宋体" w:hAnsi="宋体" w:cs="宋体"/>
          <w:color w:val="000000" w:themeColor="text1"/>
          <w:sz w:val="32"/>
          <w:szCs w:val="32"/>
          <w14:textFill>
            <w14:solidFill>
              <w14:schemeClr w14:val="tx1"/>
            </w14:solidFill>
          </w14:textFill>
        </w:rPr>
        <w:t>。</w:t>
      </w:r>
    </w:p>
    <w:p w14:paraId="162A0B90">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jc w:val="left"/>
        <w:textAlignment w:val="auto"/>
        <w:rPr>
          <w:rFonts w:hint="eastAsia" w:ascii="宋体" w:hAnsi="宋体" w:eastAsia="宋体" w:cs="宋体"/>
          <w:color w:val="000000" w:themeColor="text1"/>
          <w:sz w:val="32"/>
          <w:szCs w:val="32"/>
          <w:lang w:eastAsia="zh-CN"/>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本标准符合国家法律、法规规定，并与有关国家标准、行业标准相协调，适用范围强，可规范指导</w:t>
      </w:r>
      <w:r>
        <w:rPr>
          <w:rFonts w:hint="eastAsia" w:ascii="宋体" w:hAnsi="宋体" w:cs="宋体"/>
          <w:color w:val="000000" w:themeColor="text1"/>
          <w:sz w:val="32"/>
          <w:szCs w:val="32"/>
          <w:lang w:eastAsia="zh-CN"/>
          <w14:textFill>
            <w14:solidFill>
              <w14:schemeClr w14:val="tx1"/>
            </w14:solidFill>
          </w14:textFill>
        </w:rPr>
        <w:t>道路工程红砂岩裸露边坡生态修复</w:t>
      </w:r>
      <w:r>
        <w:rPr>
          <w:rFonts w:hint="eastAsia" w:ascii="宋体" w:hAnsi="宋体" w:cs="宋体"/>
          <w:color w:val="000000" w:themeColor="text1"/>
          <w:sz w:val="32"/>
          <w:szCs w:val="32"/>
          <w14:textFill>
            <w14:solidFill>
              <w14:schemeClr w14:val="tx1"/>
            </w14:solidFill>
          </w14:textFill>
        </w:rPr>
        <w:t>的应用，提高公路路面建养水平，</w:t>
      </w:r>
      <w:r>
        <w:rPr>
          <w:rFonts w:hint="eastAsia" w:ascii="宋体" w:hAnsi="宋体" w:cs="宋体"/>
          <w:color w:val="000000" w:themeColor="text1"/>
          <w:sz w:val="32"/>
          <w:szCs w:val="32"/>
          <w:lang w:eastAsia="zh-CN"/>
          <w14:textFill>
            <w14:solidFill>
              <w14:schemeClr w14:val="tx1"/>
            </w14:solidFill>
          </w14:textFill>
        </w:rPr>
        <w:t>打造绿色生态路，</w:t>
      </w:r>
      <w:r>
        <w:rPr>
          <w:rFonts w:hint="eastAsia" w:ascii="宋体" w:hAnsi="宋体" w:cs="宋体"/>
          <w:color w:val="000000" w:themeColor="text1"/>
          <w:sz w:val="32"/>
          <w:szCs w:val="32"/>
          <w14:textFill>
            <w14:solidFill>
              <w14:schemeClr w14:val="tx1"/>
            </w14:solidFill>
          </w14:textFill>
        </w:rPr>
        <w:t>助力建设“交通强省”。</w:t>
      </w:r>
    </w:p>
    <w:p w14:paraId="7CBE4790">
      <w:pPr>
        <w:keepNext w:val="0"/>
        <w:keepLines w:val="0"/>
        <w:pageBreakBefore w:val="0"/>
        <w:widowControl w:val="0"/>
        <w:numPr>
          <w:ilvl w:val="0"/>
          <w:numId w:val="2"/>
        </w:numPr>
        <w:kinsoku/>
        <w:wordWrap/>
        <w:overflowPunct/>
        <w:topLinePunct w:val="0"/>
        <w:autoSpaceDE/>
        <w:autoSpaceDN/>
        <w:bidi w:val="0"/>
        <w:adjustRightInd/>
        <w:snapToGrid/>
        <w:spacing w:before="0" w:beforeLines="0" w:after="0" w:afterLines="0" w:line="360" w:lineRule="auto"/>
        <w:ind w:left="0" w:firstLine="640" w:firstLineChars="200"/>
        <w:textAlignment w:val="auto"/>
        <w:outlineLvl w:val="0"/>
        <w:rPr>
          <w:rFonts w:hint="eastAsia" w:ascii="黑体" w:eastAsia="黑体"/>
          <w:color w:val="000000"/>
          <w:sz w:val="32"/>
          <w:szCs w:val="32"/>
          <w:lang w:eastAsia="zh-CN"/>
        </w:rPr>
      </w:pPr>
      <w:r>
        <w:rPr>
          <w:rFonts w:hint="eastAsia" w:ascii="黑体" w:eastAsia="黑体"/>
          <w:color w:val="000000"/>
          <w:sz w:val="32"/>
          <w:szCs w:val="32"/>
          <w:lang w:eastAsia="zh-CN"/>
        </w:rPr>
        <w:t>主要条款的说明</w:t>
      </w:r>
    </w:p>
    <w:p w14:paraId="4E25522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jc w:val="left"/>
        <w:textAlignment w:val="auto"/>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本标准主要</w:t>
      </w:r>
      <w:r>
        <w:rPr>
          <w:rFonts w:hint="eastAsia" w:ascii="宋体" w:hAnsi="宋体" w:cs="宋体"/>
          <w:color w:val="000000" w:themeColor="text1"/>
          <w:sz w:val="32"/>
          <w:szCs w:val="32"/>
          <w:lang w:eastAsia="zh-CN"/>
          <w14:textFill>
            <w14:solidFill>
              <w14:schemeClr w14:val="tx1"/>
            </w14:solidFill>
          </w14:textFill>
        </w:rPr>
        <w:t>条款</w:t>
      </w:r>
      <w:r>
        <w:rPr>
          <w:rFonts w:hint="eastAsia" w:ascii="宋体" w:hAnsi="宋体" w:cs="宋体"/>
          <w:color w:val="000000" w:themeColor="text1"/>
          <w:sz w:val="32"/>
          <w:szCs w:val="32"/>
          <w14:textFill>
            <w14:solidFill>
              <w14:schemeClr w14:val="tx1"/>
            </w14:solidFill>
          </w14:textFill>
        </w:rPr>
        <w:t>包括：范围、规范性引用文件、术语和</w:t>
      </w:r>
      <w:r>
        <w:rPr>
          <w:rFonts w:hint="eastAsia" w:ascii="宋体" w:hAnsi="宋体" w:cs="宋体"/>
          <w:color w:val="000000" w:themeColor="text1"/>
          <w:sz w:val="32"/>
          <w:szCs w:val="32"/>
          <w:lang w:eastAsia="zh-CN"/>
          <w14:textFill>
            <w14:solidFill>
              <w14:schemeClr w14:val="tx1"/>
            </w14:solidFill>
          </w14:textFill>
        </w:rPr>
        <w:t>定义</w:t>
      </w:r>
      <w:r>
        <w:rPr>
          <w:rFonts w:hint="eastAsia" w:ascii="宋体" w:hAnsi="宋体" w:cs="宋体"/>
          <w:color w:val="000000" w:themeColor="text1"/>
          <w:sz w:val="32"/>
          <w:szCs w:val="32"/>
          <w14:textFill>
            <w14:solidFill>
              <w14:schemeClr w14:val="tx1"/>
            </w14:solidFill>
          </w14:textFill>
        </w:rPr>
        <w:t>、</w:t>
      </w:r>
      <w:r>
        <w:rPr>
          <w:rFonts w:hint="eastAsia" w:ascii="宋体" w:hAnsi="宋体" w:cs="宋体"/>
          <w:color w:val="000000" w:themeColor="text1"/>
          <w:sz w:val="32"/>
          <w:szCs w:val="32"/>
          <w:lang w:eastAsia="zh-CN"/>
          <w14:textFill>
            <w14:solidFill>
              <w14:schemeClr w14:val="tx1"/>
            </w14:solidFill>
          </w14:textFill>
        </w:rPr>
        <w:t>材料</w:t>
      </w:r>
      <w:r>
        <w:rPr>
          <w:rFonts w:hint="eastAsia" w:ascii="宋体" w:hAnsi="宋体" w:cs="宋体"/>
          <w:color w:val="000000" w:themeColor="text1"/>
          <w:sz w:val="32"/>
          <w:szCs w:val="32"/>
          <w14:textFill>
            <w14:solidFill>
              <w14:schemeClr w14:val="tx1"/>
            </w14:solidFill>
          </w14:textFill>
        </w:rPr>
        <w:t>、</w:t>
      </w:r>
      <w:r>
        <w:rPr>
          <w:rFonts w:hint="eastAsia" w:ascii="宋体" w:hAnsi="宋体" w:cs="宋体"/>
          <w:color w:val="000000" w:themeColor="text1"/>
          <w:sz w:val="32"/>
          <w:szCs w:val="32"/>
          <w:lang w:eastAsia="zh-CN"/>
          <w14:textFill>
            <w14:solidFill>
              <w14:schemeClr w14:val="tx1"/>
            </w14:solidFill>
          </w14:textFill>
        </w:rPr>
        <w:t>施工</w:t>
      </w:r>
      <w:r>
        <w:rPr>
          <w:rFonts w:hint="eastAsia" w:ascii="宋体" w:hAnsi="宋体" w:cs="宋体"/>
          <w:color w:val="000000" w:themeColor="text1"/>
          <w:sz w:val="32"/>
          <w:szCs w:val="32"/>
          <w14:textFill>
            <w14:solidFill>
              <w14:schemeClr w14:val="tx1"/>
            </w14:solidFill>
          </w14:textFill>
        </w:rPr>
        <w:t>、</w:t>
      </w:r>
      <w:r>
        <w:rPr>
          <w:rFonts w:hint="eastAsia" w:ascii="宋体" w:hAnsi="宋体" w:cs="宋体"/>
          <w:color w:val="000000" w:themeColor="text1"/>
          <w:sz w:val="32"/>
          <w:szCs w:val="32"/>
          <w:lang w:eastAsia="zh-CN"/>
          <w14:textFill>
            <w14:solidFill>
              <w14:schemeClr w14:val="tx1"/>
            </w14:solidFill>
          </w14:textFill>
        </w:rPr>
        <w:t>养护</w:t>
      </w:r>
      <w:r>
        <w:rPr>
          <w:rFonts w:hint="eastAsia" w:ascii="宋体" w:hAnsi="宋体" w:cs="宋体"/>
          <w:color w:val="000000" w:themeColor="text1"/>
          <w:sz w:val="32"/>
          <w:szCs w:val="32"/>
          <w14:textFill>
            <w14:solidFill>
              <w14:schemeClr w14:val="tx1"/>
            </w14:solidFill>
          </w14:textFill>
        </w:rPr>
        <w:t>和验收等。</w:t>
      </w:r>
    </w:p>
    <w:p w14:paraId="65192227">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jc w:val="left"/>
        <w:textAlignment w:val="auto"/>
        <w:rPr>
          <w:rFonts w:hint="eastAsia" w:ascii="宋体" w:hAnsi="宋体" w:cs="宋体"/>
          <w:color w:val="000000" w:themeColor="text1"/>
          <w:sz w:val="32"/>
          <w:szCs w:val="32"/>
          <w:lang w:eastAsia="zh-CN"/>
          <w14:textFill>
            <w14:solidFill>
              <w14:schemeClr w14:val="tx1"/>
            </w14:solidFill>
          </w14:textFill>
        </w:rPr>
      </w:pPr>
      <w:r>
        <w:rPr>
          <w:rFonts w:hint="eastAsia" w:ascii="宋体" w:hAnsi="宋体" w:cs="宋体"/>
          <w:color w:val="000000" w:themeColor="text1"/>
          <w:sz w:val="32"/>
          <w:szCs w:val="32"/>
          <w:lang w:eastAsia="zh-CN"/>
          <w14:textFill>
            <w14:solidFill>
              <w14:schemeClr w14:val="tx1"/>
            </w14:solidFill>
          </w14:textFill>
        </w:rPr>
        <w:t>“范围”规定了本标准的适用场景；</w:t>
      </w:r>
    </w:p>
    <w:p w14:paraId="564A6F8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jc w:val="left"/>
        <w:textAlignment w:val="auto"/>
        <w:rPr>
          <w:rFonts w:hint="eastAsia" w:ascii="宋体" w:hAnsi="宋体" w:cs="宋体"/>
          <w:color w:val="000000" w:themeColor="text1"/>
          <w:sz w:val="32"/>
          <w:szCs w:val="32"/>
          <w:lang w:eastAsia="zh-CN"/>
          <w14:textFill>
            <w14:solidFill>
              <w14:schemeClr w14:val="tx1"/>
            </w14:solidFill>
          </w14:textFill>
        </w:rPr>
      </w:pPr>
      <w:r>
        <w:rPr>
          <w:rFonts w:hint="eastAsia" w:ascii="宋体" w:hAnsi="宋体" w:cs="宋体"/>
          <w:color w:val="000000" w:themeColor="text1"/>
          <w:sz w:val="32"/>
          <w:szCs w:val="32"/>
          <w:lang w:eastAsia="zh-CN"/>
          <w14:textFill>
            <w14:solidFill>
              <w14:schemeClr w14:val="tx1"/>
            </w14:solidFill>
          </w14:textFill>
        </w:rPr>
        <w:t>“规范性引用文件”列出了对本标准应用必不可少的相关标准规范等文件；</w:t>
      </w:r>
    </w:p>
    <w:p w14:paraId="6860C731">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jc w:val="left"/>
        <w:textAlignment w:val="auto"/>
        <w:rPr>
          <w:rFonts w:hint="eastAsia" w:ascii="宋体" w:hAnsi="宋体" w:cs="宋体"/>
          <w:color w:val="000000" w:themeColor="text1"/>
          <w:sz w:val="32"/>
          <w:szCs w:val="32"/>
          <w:lang w:eastAsia="zh-CN"/>
          <w14:textFill>
            <w14:solidFill>
              <w14:schemeClr w14:val="tx1"/>
            </w14:solidFill>
          </w14:textFill>
        </w:rPr>
      </w:pPr>
      <w:r>
        <w:rPr>
          <w:rFonts w:hint="eastAsia" w:ascii="宋体" w:hAnsi="宋体" w:cs="宋体"/>
          <w:color w:val="000000" w:themeColor="text1"/>
          <w:sz w:val="32"/>
          <w:szCs w:val="32"/>
          <w:lang w:eastAsia="zh-CN"/>
          <w14:textFill>
            <w14:solidFill>
              <w14:schemeClr w14:val="tx1"/>
            </w14:solidFill>
          </w14:textFill>
        </w:rPr>
        <w:t>“术语和定义”定义了本标准所涉及的若干术语，特别是明确了营造剂和共轭土的定义；</w:t>
      </w:r>
    </w:p>
    <w:p w14:paraId="24FD8837">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jc w:val="left"/>
        <w:textAlignment w:val="auto"/>
        <w:rPr>
          <w:rFonts w:hint="eastAsia" w:ascii="宋体" w:hAnsi="宋体" w:cs="宋体"/>
          <w:color w:val="000000" w:themeColor="text1"/>
          <w:sz w:val="32"/>
          <w:szCs w:val="32"/>
          <w:lang w:eastAsia="zh-CN"/>
          <w14:textFill>
            <w14:solidFill>
              <w14:schemeClr w14:val="tx1"/>
            </w14:solidFill>
          </w14:textFill>
        </w:rPr>
      </w:pPr>
      <w:r>
        <w:rPr>
          <w:rFonts w:hint="eastAsia" w:ascii="宋体" w:hAnsi="宋体" w:cs="宋体"/>
          <w:color w:val="000000" w:themeColor="text1"/>
          <w:sz w:val="32"/>
          <w:szCs w:val="32"/>
          <w:lang w:eastAsia="zh-CN"/>
          <w14:textFill>
            <w14:solidFill>
              <w14:schemeClr w14:val="tx1"/>
            </w14:solidFill>
          </w14:textFill>
        </w:rPr>
        <w:t>“材料”对基材类型、植物选配和土工材料做了一系列明确要求；</w:t>
      </w:r>
    </w:p>
    <w:p w14:paraId="618BB14B">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jc w:val="left"/>
        <w:textAlignment w:val="auto"/>
        <w:rPr>
          <w:rFonts w:hint="eastAsia" w:ascii="宋体" w:hAnsi="宋体" w:cs="宋体"/>
          <w:color w:val="000000" w:themeColor="text1"/>
          <w:sz w:val="32"/>
          <w:szCs w:val="32"/>
          <w:lang w:eastAsia="zh-CN"/>
          <w14:textFill>
            <w14:solidFill>
              <w14:schemeClr w14:val="tx1"/>
            </w14:solidFill>
          </w14:textFill>
        </w:rPr>
      </w:pPr>
      <w:r>
        <w:rPr>
          <w:rFonts w:hint="eastAsia" w:ascii="宋体" w:hAnsi="宋体" w:cs="宋体"/>
          <w:color w:val="000000" w:themeColor="text1"/>
          <w:sz w:val="32"/>
          <w:szCs w:val="32"/>
          <w:lang w:eastAsia="zh-CN"/>
          <w14:textFill>
            <w14:solidFill>
              <w14:schemeClr w14:val="tx1"/>
            </w14:solidFill>
          </w14:textFill>
        </w:rPr>
        <w:t>“施工”对施工前准备工作、边坡清理、锚杆固定与铁丝网铺设、配置共轭土、喷播、覆盖养生、乔木栽植、场地清理和安全环保进行了规定。</w:t>
      </w:r>
    </w:p>
    <w:p w14:paraId="3ABBEC5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jc w:val="left"/>
        <w:textAlignment w:val="auto"/>
        <w:rPr>
          <w:rFonts w:hint="eastAsia" w:ascii="宋体" w:hAnsi="宋体" w:cs="宋体"/>
          <w:color w:val="000000" w:themeColor="text1"/>
          <w:sz w:val="32"/>
          <w:szCs w:val="32"/>
          <w:lang w:eastAsia="zh-CN"/>
          <w14:textFill>
            <w14:solidFill>
              <w14:schemeClr w14:val="tx1"/>
            </w14:solidFill>
          </w14:textFill>
        </w:rPr>
      </w:pPr>
      <w:r>
        <w:rPr>
          <w:rFonts w:hint="eastAsia" w:ascii="宋体" w:hAnsi="宋体" w:cs="宋体"/>
          <w:color w:val="000000" w:themeColor="text1"/>
          <w:sz w:val="32"/>
          <w:szCs w:val="32"/>
          <w:lang w:eastAsia="zh-CN"/>
          <w14:textFill>
            <w14:solidFill>
              <w14:schemeClr w14:val="tx1"/>
            </w14:solidFill>
          </w14:textFill>
        </w:rPr>
        <w:t>“养护”规定养护时间、缺陷维护、灌溉、追肥、病虫害防治、修剪的要求。</w:t>
      </w:r>
    </w:p>
    <w:p w14:paraId="69374F9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jc w:val="left"/>
        <w:textAlignment w:val="auto"/>
        <w:rPr>
          <w:rFonts w:hint="eastAsia" w:ascii="宋体" w:hAnsi="宋体" w:cs="宋体"/>
          <w:color w:val="000000" w:themeColor="text1"/>
          <w:sz w:val="32"/>
          <w:szCs w:val="32"/>
          <w:lang w:eastAsia="zh-CN"/>
          <w14:textFill>
            <w14:solidFill>
              <w14:schemeClr w14:val="tx1"/>
            </w14:solidFill>
          </w14:textFill>
        </w:rPr>
      </w:pPr>
      <w:r>
        <w:rPr>
          <w:rFonts w:hint="eastAsia" w:ascii="宋体" w:hAnsi="宋体" w:cs="宋体"/>
          <w:color w:val="000000" w:themeColor="text1"/>
          <w:sz w:val="32"/>
          <w:szCs w:val="32"/>
          <w:lang w:eastAsia="zh-CN"/>
          <w14:textFill>
            <w14:solidFill>
              <w14:schemeClr w14:val="tx1"/>
            </w14:solidFill>
          </w14:textFill>
        </w:rPr>
        <w:t>“验收”规定了中间验收、交工验收和竣工验收的要求。</w:t>
      </w:r>
    </w:p>
    <w:p w14:paraId="0694AB9E">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jc w:val="left"/>
        <w:textAlignment w:val="auto"/>
        <w:rPr>
          <w:rFonts w:hint="eastAsia" w:ascii="宋体" w:hAnsi="宋体" w:cs="宋体"/>
          <w:color w:val="000000" w:themeColor="text1"/>
          <w:sz w:val="32"/>
          <w:szCs w:val="32"/>
          <w:lang w:eastAsia="zh-CN"/>
          <w14:textFill>
            <w14:solidFill>
              <w14:schemeClr w14:val="tx1"/>
            </w14:solidFill>
          </w14:textFill>
        </w:rPr>
      </w:pPr>
      <w:r>
        <w:rPr>
          <w:rFonts w:hint="eastAsia" w:ascii="宋体" w:hAnsi="宋体" w:cs="宋体"/>
          <w:color w:val="000000" w:themeColor="text1"/>
          <w:sz w:val="32"/>
          <w:szCs w:val="32"/>
          <w:lang w:eastAsia="zh-CN"/>
          <w14:textFill>
            <w14:solidFill>
              <w14:schemeClr w14:val="tx1"/>
            </w14:solidFill>
          </w14:textFill>
        </w:rPr>
        <w:t>“附录”是对标准内容的适当规范性及资料性补充。</w:t>
      </w:r>
    </w:p>
    <w:p w14:paraId="4FC02FFD">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jc w:val="left"/>
        <w:textAlignment w:val="auto"/>
        <w:rPr>
          <w:rFonts w:hint="eastAsia" w:ascii="黑体" w:eastAsia="黑体"/>
          <w:color w:val="000000"/>
          <w:sz w:val="32"/>
          <w:szCs w:val="32"/>
        </w:rPr>
      </w:pPr>
      <w:r>
        <w:rPr>
          <w:rFonts w:hint="eastAsia" w:ascii="黑体" w:eastAsia="黑体"/>
          <w:color w:val="000000"/>
          <w:sz w:val="32"/>
          <w:szCs w:val="32"/>
        </w:rPr>
        <w:t>六、与有关现行法律法规、国家标准和行业标准的</w:t>
      </w:r>
      <w:r>
        <w:rPr>
          <w:rFonts w:hint="eastAsia" w:ascii="黑体" w:eastAsia="黑体"/>
          <w:color w:val="000000"/>
          <w:sz w:val="32"/>
          <w:szCs w:val="32"/>
          <w:lang w:eastAsia="zh-CN"/>
        </w:rPr>
        <w:t>关系</w:t>
      </w:r>
    </w:p>
    <w:p w14:paraId="4340214D">
      <w:pPr>
        <w:numPr>
          <w:ilvl w:val="0"/>
          <w:numId w:val="0"/>
        </w:numPr>
        <w:bidi w:val="0"/>
        <w:ind w:firstLine="640" w:firstLineChars="200"/>
        <w:jc w:val="both"/>
        <w:rPr>
          <w:rFonts w:hint="eastAsia"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本标准的制定不存在与现行法律法规和强制性国家标准相冲突的情况，本标准的指标类型与现行标准无抵触、适应性好。</w:t>
      </w:r>
    </w:p>
    <w:p w14:paraId="4C54C530">
      <w:pPr>
        <w:numPr>
          <w:ilvl w:val="0"/>
          <w:numId w:val="0"/>
        </w:numPr>
        <w:bidi w:val="0"/>
        <w:ind w:firstLine="640" w:firstLineChars="200"/>
        <w:jc w:val="both"/>
        <w:rPr>
          <w:rFonts w:hint="eastAsia"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目前国内外对道路工程路堑边坡及岩石边坡的植被生态修复研究都取得了很多建设性的成果，但专门针对红砂岩边坡生态修复的应用技术研究和探索性应用相对较少。我国尚无针对道路工程红砂岩裸露边坡生态修复技术相关的规范和标准，通过研发红砂岩微结构营造剂，提出红砂岩制备共轭土的各项参数及微调控技术，形成红砂岩边坡裸露面生态修复技术和工艺，制定一套完整的施工技术标准，为推动特殊工程裸露面生态修复技术标准化的实施，大幅度提升我省工程边坡裸露面的生态修复技术水平。</w:t>
      </w:r>
    </w:p>
    <w:p w14:paraId="729F330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640" w:firstLineChars="200"/>
        <w:textAlignment w:val="auto"/>
        <w:outlineLvl w:val="0"/>
        <w:rPr>
          <w:rFonts w:ascii="黑体" w:eastAsia="黑体"/>
          <w:color w:val="000000"/>
          <w:sz w:val="32"/>
          <w:szCs w:val="32"/>
        </w:rPr>
      </w:pPr>
      <w:r>
        <w:rPr>
          <w:rFonts w:hint="eastAsia" w:ascii="黑体" w:eastAsia="黑体"/>
          <w:color w:val="000000"/>
          <w:sz w:val="32"/>
          <w:szCs w:val="32"/>
          <w:lang w:eastAsia="zh-CN"/>
        </w:rPr>
        <w:t>七、</w:t>
      </w:r>
      <w:r>
        <w:rPr>
          <w:rFonts w:hint="eastAsia" w:ascii="黑体" w:eastAsia="黑体"/>
          <w:color w:val="000000"/>
          <w:sz w:val="32"/>
          <w:szCs w:val="32"/>
        </w:rPr>
        <w:t>重大分歧的处理依据和结果</w:t>
      </w:r>
    </w:p>
    <w:p w14:paraId="18AAC6F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jc w:val="left"/>
        <w:textAlignment w:val="auto"/>
        <w:rPr>
          <w:sz w:val="32"/>
          <w:szCs w:val="32"/>
        </w:rPr>
      </w:pPr>
      <w:r>
        <w:rPr>
          <w:rFonts w:hint="eastAsia" w:ascii="宋体" w:hAnsi="宋体" w:cs="宋体"/>
          <w:color w:val="000000" w:themeColor="text1"/>
          <w:sz w:val="32"/>
          <w:szCs w:val="32"/>
          <w14:textFill>
            <w14:solidFill>
              <w14:schemeClr w14:val="tx1"/>
            </w14:solidFill>
          </w14:textFill>
        </w:rPr>
        <w:t>本标准在编制制定过程中，没有产生任何重大分歧意见。</w:t>
      </w:r>
    </w:p>
    <w:p w14:paraId="19693F7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textAlignment w:val="auto"/>
        <w:outlineLvl w:val="0"/>
        <w:rPr>
          <w:rFonts w:ascii="黑体" w:eastAsia="黑体"/>
          <w:color w:val="000000"/>
          <w:sz w:val="32"/>
          <w:szCs w:val="32"/>
        </w:rPr>
      </w:pPr>
      <w:r>
        <w:rPr>
          <w:rFonts w:hint="eastAsia" w:ascii="黑体" w:eastAsia="黑体"/>
          <w:color w:val="000000"/>
          <w:sz w:val="32"/>
          <w:szCs w:val="32"/>
        </w:rPr>
        <w:t>八、作为推荐性或强制性标准的建议</w:t>
      </w:r>
    </w:p>
    <w:p w14:paraId="4EAA88F7">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jc w:val="left"/>
        <w:textAlignment w:val="auto"/>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建议本标准作为推荐性标准。</w:t>
      </w:r>
    </w:p>
    <w:p w14:paraId="18B4C3AF">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textAlignment w:val="auto"/>
        <w:outlineLvl w:val="0"/>
        <w:rPr>
          <w:rFonts w:ascii="黑体" w:eastAsia="黑体"/>
          <w:color w:val="000000"/>
          <w:sz w:val="32"/>
          <w:szCs w:val="32"/>
        </w:rPr>
      </w:pPr>
      <w:r>
        <w:rPr>
          <w:rFonts w:hint="eastAsia" w:ascii="黑体" w:eastAsia="黑体"/>
          <w:color w:val="000000"/>
          <w:sz w:val="32"/>
          <w:szCs w:val="32"/>
        </w:rPr>
        <w:t>九、贯彻标准的措施建议</w:t>
      </w:r>
    </w:p>
    <w:p w14:paraId="7F236FD8">
      <w:pPr>
        <w:spacing w:line="360" w:lineRule="auto"/>
        <w:ind w:firstLine="640" w:firstLineChars="200"/>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建议在实际相关工程中加强应用，提</w:t>
      </w:r>
      <w:r>
        <w:rPr>
          <w:rFonts w:hint="eastAsia" w:ascii="宋体" w:hAnsi="宋体" w:eastAsia="宋体" w:cs="宋体"/>
          <w:color w:val="000000" w:themeColor="text1"/>
          <w:sz w:val="32"/>
          <w:szCs w:val="32"/>
          <w:lang w:eastAsia="zh-CN"/>
          <w14:textFill>
            <w14:solidFill>
              <w14:schemeClr w14:val="tx1"/>
            </w14:solidFill>
          </w14:textFill>
        </w:rPr>
        <w:t>升</w:t>
      </w:r>
      <w:r>
        <w:rPr>
          <w:rFonts w:hint="eastAsia" w:ascii="宋体" w:hAnsi="宋体" w:eastAsia="宋体" w:cs="宋体"/>
          <w:color w:val="000000" w:themeColor="text1"/>
          <w:sz w:val="32"/>
          <w:szCs w:val="32"/>
          <w:lang w:val="en-US" w:eastAsia="zh-CN"/>
          <w14:textFill>
            <w14:solidFill>
              <w14:schemeClr w14:val="tx1"/>
            </w14:solidFill>
          </w14:textFill>
        </w:rPr>
        <w:t>我省工程边坡裸露面的生态修复技术水平</w:t>
      </w:r>
      <w:r>
        <w:rPr>
          <w:rFonts w:hint="eastAsia" w:ascii="宋体" w:hAnsi="宋体" w:eastAsia="宋体" w:cs="宋体"/>
          <w:color w:val="000000" w:themeColor="text1"/>
          <w:sz w:val="32"/>
          <w:szCs w:val="32"/>
          <w14:textFill>
            <w14:solidFill>
              <w14:schemeClr w14:val="tx1"/>
            </w14:solidFill>
          </w14:textFill>
        </w:rPr>
        <w:t>，保障道路</w:t>
      </w:r>
      <w:r>
        <w:rPr>
          <w:rFonts w:hint="eastAsia" w:ascii="宋体" w:hAnsi="宋体" w:eastAsia="宋体" w:cs="宋体"/>
          <w:color w:val="000000" w:themeColor="text1"/>
          <w:sz w:val="32"/>
          <w:szCs w:val="32"/>
          <w:lang w:eastAsia="zh-CN"/>
          <w14:textFill>
            <w14:solidFill>
              <w14:schemeClr w14:val="tx1"/>
            </w14:solidFill>
          </w14:textFill>
        </w:rPr>
        <w:t>边坡生态修复的</w:t>
      </w:r>
      <w:r>
        <w:rPr>
          <w:rFonts w:hint="eastAsia" w:ascii="宋体" w:hAnsi="宋体" w:eastAsia="宋体" w:cs="宋体"/>
          <w:color w:val="000000" w:themeColor="text1"/>
          <w:sz w:val="32"/>
          <w:szCs w:val="32"/>
          <w14:textFill>
            <w14:solidFill>
              <w14:schemeClr w14:val="tx1"/>
            </w14:solidFill>
          </w14:textFill>
        </w:rPr>
        <w:t>长期使用性能。</w:t>
      </w:r>
    </w:p>
    <w:p w14:paraId="2403692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textAlignment w:val="auto"/>
        <w:outlineLvl w:val="0"/>
        <w:rPr>
          <w:rFonts w:hint="eastAsia" w:ascii="宋体" w:hAnsi="宋体" w:eastAsia="宋体" w:cs="宋体"/>
          <w:color w:val="000000" w:themeColor="text1"/>
          <w:sz w:val="32"/>
          <w:szCs w:val="32"/>
          <w14:textFill>
            <w14:solidFill>
              <w14:schemeClr w14:val="tx1"/>
            </w14:solidFill>
          </w14:textFill>
        </w:rPr>
      </w:pPr>
      <w:r>
        <w:rPr>
          <w:rFonts w:hint="eastAsia" w:ascii="黑体" w:eastAsia="黑体"/>
          <w:color w:val="000000"/>
          <w:sz w:val="32"/>
          <w:szCs w:val="32"/>
        </w:rPr>
        <w:t>十、其他说明事项</w:t>
      </w:r>
    </w:p>
    <w:p w14:paraId="753ADD1F">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jc w:val="left"/>
        <w:textAlignment w:val="auto"/>
        <w:rPr>
          <w:rFonts w:hint="eastAsia"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无。</w:t>
      </w:r>
    </w:p>
    <w:p w14:paraId="3507FE30">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firstLine="640" w:firstLineChars="200"/>
        <w:jc w:val="left"/>
        <w:textAlignment w:val="auto"/>
        <w:rPr>
          <w:rFonts w:hint="eastAsia" w:ascii="宋体" w:hAnsi="宋体" w:cs="宋体"/>
          <w:color w:val="000000" w:themeColor="text1"/>
          <w:sz w:val="32"/>
          <w:szCs w:val="32"/>
          <w14:textFill>
            <w14:solidFill>
              <w14:schemeClr w14:val="tx1"/>
            </w14:solidFill>
          </w14:textFill>
        </w:rPr>
      </w:pPr>
    </w:p>
    <w:p w14:paraId="348354E6">
      <w:pPr>
        <w:keepNext w:val="0"/>
        <w:keepLines w:val="0"/>
        <w:pageBreakBefore w:val="0"/>
        <w:widowControl w:val="0"/>
        <w:tabs>
          <w:tab w:val="left" w:pos="8364"/>
        </w:tabs>
        <w:kinsoku/>
        <w:wordWrap/>
        <w:overflowPunct/>
        <w:topLinePunct w:val="0"/>
        <w:autoSpaceDE/>
        <w:autoSpaceDN/>
        <w:bidi w:val="0"/>
        <w:adjustRightInd/>
        <w:snapToGrid/>
        <w:spacing w:before="0" w:beforeLines="0" w:after="0" w:afterLines="0" w:line="580" w:lineRule="exact"/>
        <w:ind w:left="480" w:leftChars="200" w:right="85" w:firstLine="0" w:firstLineChars="0"/>
        <w:jc w:val="center"/>
        <w:textAlignment w:val="auto"/>
        <w:rPr>
          <w:b/>
          <w:color w:val="000000"/>
          <w:sz w:val="32"/>
          <w:szCs w:val="32"/>
        </w:rPr>
      </w:pPr>
      <w:r>
        <w:rPr>
          <w:rFonts w:hint="eastAsia"/>
          <w:b/>
          <w:bCs/>
          <w:sz w:val="32"/>
          <w:szCs w:val="32"/>
          <w:lang w:val="en-US" w:eastAsia="zh-CN"/>
        </w:rPr>
        <w:t xml:space="preserve">    </w:t>
      </w:r>
    </w:p>
    <w:sectPr>
      <w:footerReference r:id="rId11" w:type="default"/>
      <w:pgSz w:w="11906" w:h="16838"/>
      <w:pgMar w:top="1440" w:right="1800" w:bottom="1440" w:left="1800" w:header="851" w:footer="992"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A86D8">
    <w:pPr>
      <w:pStyle w:val="2"/>
      <w:spacing w:before="120" w:after="120"/>
      <w:ind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97C3B88">
                          <w:pPr>
                            <w:pStyle w:val="2"/>
                            <w:spacing w:before="120" w:after="120"/>
                            <w:ind w:firstLine="360"/>
                            <w:jc w:val="center"/>
                          </w:pPr>
                          <w:r>
                            <w:fldChar w:fldCharType="begin"/>
                          </w:r>
                          <w:r>
                            <w:instrText xml:space="preserve"> PAGE   \* MERGEFORMAT </w:instrText>
                          </w:r>
                          <w:r>
                            <w:fldChar w:fldCharType="separate"/>
                          </w:r>
                          <w:r>
                            <w:rPr>
                              <w:lang w:val="zh-CN"/>
                            </w:rPr>
                            <w:t>1</w:t>
                          </w:r>
                          <w:r>
                            <w:rPr>
                              <w:lang w:val="zh-CN"/>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H7J9RPLAQAAlgMAAA4AAAAAAAAAAQAgAAAAHgEAAGRycy9lMm9E&#10;b2MueG1sUEsFBgAAAAAGAAYAWQEAAFsFAAAAAA==&#10;">
              <v:fill on="f" focussize="0,0"/>
              <v:stroke on="f"/>
              <v:imagedata o:title=""/>
              <o:lock v:ext="edit" aspectratio="f"/>
              <v:textbox inset="0mm,0mm,0mm,0mm" style="mso-fit-shape-to-text:t;">
                <w:txbxContent>
                  <w:p w14:paraId="497C3B88">
                    <w:pPr>
                      <w:pStyle w:val="2"/>
                      <w:spacing w:before="120" w:after="120"/>
                      <w:ind w:firstLine="360"/>
                      <w:jc w:val="center"/>
                    </w:pPr>
                    <w:r>
                      <w:fldChar w:fldCharType="begin"/>
                    </w:r>
                    <w:r>
                      <w:instrText xml:space="preserve"> PAGE   \* MERGEFORMAT </w:instrText>
                    </w:r>
                    <w:r>
                      <w:fldChar w:fldCharType="separate"/>
                    </w:r>
                    <w:r>
                      <w:rPr>
                        <w:lang w:val="zh-CN"/>
                      </w:rPr>
                      <w:t>1</w:t>
                    </w:r>
                    <w:r>
                      <w:rPr>
                        <w:lang w:val="zh-CN"/>
                      </w:rPr>
                      <w:fldChar w:fldCharType="end"/>
                    </w:r>
                  </w:p>
                </w:txbxContent>
              </v:textbox>
            </v:shape>
          </w:pict>
        </mc:Fallback>
      </mc:AlternateContent>
    </w:r>
  </w:p>
  <w:p w14:paraId="779D6E50">
    <w:pPr>
      <w:pStyle w:val="2"/>
      <w:spacing w:before="120" w:after="120"/>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C99F0">
    <w:pPr>
      <w:pStyle w:val="2"/>
      <w:spacing w:before="120" w:after="120"/>
      <w:ind w:firstLine="360"/>
      <w:jc w:val="center"/>
    </w:pPr>
    <w:r>
      <w:fldChar w:fldCharType="begin"/>
    </w:r>
    <w:r>
      <w:instrText xml:space="preserve"> PAGE   \* MERGEFORMAT </w:instrText>
    </w:r>
    <w:r>
      <w:fldChar w:fldCharType="separate"/>
    </w:r>
    <w:r>
      <w:rPr>
        <w:lang w:val="zh-CN"/>
      </w:rPr>
      <w:t>10</w:t>
    </w:r>
    <w:r>
      <w:rPr>
        <w:lang w:val="zh-CN"/>
      </w:rPr>
      <w:fldChar w:fldCharType="end"/>
    </w:r>
  </w:p>
  <w:p w14:paraId="30447A85">
    <w:pPr>
      <w:pStyle w:val="2"/>
      <w:spacing w:before="120" w:after="1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3308A">
    <w:pPr>
      <w:pStyle w:val="2"/>
      <w:spacing w:before="120" w:after="12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D66B2">
    <w:pPr>
      <w:pStyle w:val="2"/>
      <w:spacing w:before="120" w:after="120"/>
      <w:ind w:firstLine="360"/>
      <w:jc w:val="both"/>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BBF4E52">
                          <w:pPr>
                            <w:pStyle w:val="2"/>
                            <w:spacing w:before="120" w:after="120"/>
                            <w:ind w:firstLine="36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B8wm8oBAACWAwAADgAAAAAAAAABACAAAAAeAQAAZHJzL2Uyb0Rv&#10;Yy54bWxQSwUGAAAAAAYABgBZAQAAWgUAAAAA&#10;">
              <v:fill on="f" focussize="0,0"/>
              <v:stroke on="f"/>
              <v:imagedata o:title=""/>
              <o:lock v:ext="edit" aspectratio="f"/>
              <v:textbox inset="0mm,0mm,0mm,0mm" style="mso-fit-shape-to-text:t;">
                <w:txbxContent>
                  <w:p w14:paraId="6BBF4E52">
                    <w:pPr>
                      <w:pStyle w:val="2"/>
                      <w:spacing w:before="120" w:after="120"/>
                      <w:ind w:firstLine="36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0A2A179">
                          <w:pPr>
                            <w:spacing w:before="120" w:after="120"/>
                            <w:ind w:firstLine="0" w:firstLineChars="0"/>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PQLbEMoBAACWAwAADgAAAAAAAAABACAAAAAeAQAAZHJzL2Uyb0Rv&#10;Yy54bWxQSwUGAAAAAAYABgBZAQAAWgUAAAAA&#10;">
              <v:fill on="f" focussize="0,0"/>
              <v:stroke on="f"/>
              <v:imagedata o:title=""/>
              <o:lock v:ext="edit" aspectratio="f"/>
              <v:textbox inset="0mm,0mm,0mm,0mm" style="mso-fit-shape-to-text:t;">
                <w:txbxContent>
                  <w:p w14:paraId="60A2A179">
                    <w:pPr>
                      <w:spacing w:before="120" w:after="120"/>
                      <w:ind w:firstLine="0" w:firstLineChars="0"/>
                    </w:pP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8B81646">
                          <w:pPr>
                            <w:spacing w:before="120" w:after="120"/>
                            <w:ind w:firstLine="0" w:firstLineChars="0"/>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HzpuVTLAQAAlgMAAA4AAAAAAAAAAQAgAAAAHgEAAGRycy9lMm9E&#10;b2MueG1sUEsFBgAAAAAGAAYAWQEAAFsFAAAAAA==&#10;">
              <v:fill on="f" focussize="0,0"/>
              <v:stroke on="f"/>
              <v:imagedata o:title=""/>
              <o:lock v:ext="edit" aspectratio="f"/>
              <v:textbox inset="0mm,0mm,0mm,0mm" style="mso-fit-shape-to-text:t;">
                <w:txbxContent>
                  <w:p w14:paraId="78B81646">
                    <w:pPr>
                      <w:spacing w:before="120" w:after="120"/>
                      <w:ind w:firstLine="0" w:firstLineChars="0"/>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47F9C04">
                          <w:pPr>
                            <w:pStyle w:val="2"/>
                            <w:spacing w:before="120" w:after="120"/>
                            <w:ind w:firstLine="360"/>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eoltncoBAACWAwAADgAAAAAAAAABACAAAAAeAQAAZHJzL2Uyb0Rv&#10;Yy54bWxQSwUGAAAAAAYABgBZAQAAWgUAAAAA&#10;">
              <v:fill on="f" focussize="0,0"/>
              <v:stroke on="f"/>
              <v:imagedata o:title=""/>
              <o:lock v:ext="edit" aspectratio="f"/>
              <v:textbox inset="0mm,0mm,0mm,0mm" style="mso-fit-shape-to-text:t;">
                <w:txbxContent>
                  <w:p w14:paraId="447F9C04">
                    <w:pPr>
                      <w:pStyle w:val="2"/>
                      <w:spacing w:before="120" w:after="120"/>
                      <w:ind w:firstLine="360"/>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ind w:firstLine="480"/>
      </w:pPr>
      <w:r>
        <w:separator/>
      </w:r>
    </w:p>
  </w:footnote>
  <w:footnote w:type="continuationSeparator" w:id="1">
    <w:p>
      <w:pPr>
        <w:spacing w:before="0" w:after="0"/>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BC627">
    <w:pPr>
      <w:spacing w:before="120" w:after="120"/>
      <w:ind w:firstLine="360"/>
      <w:jc w:val="right"/>
      <w:rPr>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78D23">
    <w:pPr>
      <w:pStyle w:val="3"/>
      <w:spacing w:before="120" w:after="1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73EB1">
    <w:pPr>
      <w:pStyle w:val="3"/>
      <w:spacing w:before="120" w:after="12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8C45DC"/>
    <w:multiLevelType w:val="singleLevel"/>
    <w:tmpl w:val="678C45DC"/>
    <w:lvl w:ilvl="0" w:tentative="0">
      <w:start w:val="1"/>
      <w:numFmt w:val="decimal"/>
      <w:suff w:val="nothing"/>
      <w:lvlText w:val="%1、"/>
      <w:lvlJc w:val="left"/>
    </w:lvl>
  </w:abstractNum>
  <w:abstractNum w:abstractNumId="1">
    <w:nsid w:val="7D74EC39"/>
    <w:multiLevelType w:val="singleLevel"/>
    <w:tmpl w:val="7D74EC39"/>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5MTY2M2QxZmEyMzhlNWFlYWE0MWZlZjBjNjRjOTIifQ=="/>
  </w:docVars>
  <w:rsids>
    <w:rsidRoot w:val="10A24D6D"/>
    <w:rsid w:val="000C6138"/>
    <w:rsid w:val="001A5E50"/>
    <w:rsid w:val="001C7473"/>
    <w:rsid w:val="001F5657"/>
    <w:rsid w:val="002077EC"/>
    <w:rsid w:val="0025736E"/>
    <w:rsid w:val="0026027A"/>
    <w:rsid w:val="002C333A"/>
    <w:rsid w:val="00301F42"/>
    <w:rsid w:val="00301FFE"/>
    <w:rsid w:val="00353776"/>
    <w:rsid w:val="00364E60"/>
    <w:rsid w:val="003B25C3"/>
    <w:rsid w:val="003D7CDA"/>
    <w:rsid w:val="00420CCE"/>
    <w:rsid w:val="00421723"/>
    <w:rsid w:val="00460848"/>
    <w:rsid w:val="004B350C"/>
    <w:rsid w:val="004B76E9"/>
    <w:rsid w:val="00510A67"/>
    <w:rsid w:val="00547215"/>
    <w:rsid w:val="005563E5"/>
    <w:rsid w:val="00564C9A"/>
    <w:rsid w:val="005E3718"/>
    <w:rsid w:val="00662EE4"/>
    <w:rsid w:val="006664D9"/>
    <w:rsid w:val="0067551C"/>
    <w:rsid w:val="006774FC"/>
    <w:rsid w:val="006C299D"/>
    <w:rsid w:val="007324F6"/>
    <w:rsid w:val="00784EFD"/>
    <w:rsid w:val="007D7B4F"/>
    <w:rsid w:val="008323BF"/>
    <w:rsid w:val="0083384A"/>
    <w:rsid w:val="008B14A1"/>
    <w:rsid w:val="008C63CD"/>
    <w:rsid w:val="009050E4"/>
    <w:rsid w:val="009614E4"/>
    <w:rsid w:val="00964AB8"/>
    <w:rsid w:val="00971CC3"/>
    <w:rsid w:val="00982157"/>
    <w:rsid w:val="009A0FF4"/>
    <w:rsid w:val="009E39BA"/>
    <w:rsid w:val="00A0757C"/>
    <w:rsid w:val="00A40F8C"/>
    <w:rsid w:val="00B23330"/>
    <w:rsid w:val="00B77A0F"/>
    <w:rsid w:val="00BF0D66"/>
    <w:rsid w:val="00C4462A"/>
    <w:rsid w:val="00C55850"/>
    <w:rsid w:val="00C769FD"/>
    <w:rsid w:val="00CB50D1"/>
    <w:rsid w:val="00CB607D"/>
    <w:rsid w:val="00CD1BED"/>
    <w:rsid w:val="00CE33B5"/>
    <w:rsid w:val="00CE55C5"/>
    <w:rsid w:val="00D0775A"/>
    <w:rsid w:val="00D17BBC"/>
    <w:rsid w:val="00D53B75"/>
    <w:rsid w:val="00D84A68"/>
    <w:rsid w:val="00E078B6"/>
    <w:rsid w:val="00E16D81"/>
    <w:rsid w:val="00E942B3"/>
    <w:rsid w:val="00EE27FF"/>
    <w:rsid w:val="00F12B69"/>
    <w:rsid w:val="00F60A2E"/>
    <w:rsid w:val="00F85C9A"/>
    <w:rsid w:val="00F96C68"/>
    <w:rsid w:val="05430ED8"/>
    <w:rsid w:val="094271EB"/>
    <w:rsid w:val="0BD02372"/>
    <w:rsid w:val="10A24D6D"/>
    <w:rsid w:val="1F012304"/>
    <w:rsid w:val="1F4D55DB"/>
    <w:rsid w:val="1F981AE7"/>
    <w:rsid w:val="20A06F70"/>
    <w:rsid w:val="252F239A"/>
    <w:rsid w:val="2872435C"/>
    <w:rsid w:val="2AA67F6D"/>
    <w:rsid w:val="304F089B"/>
    <w:rsid w:val="35DD620B"/>
    <w:rsid w:val="364315EA"/>
    <w:rsid w:val="3881462B"/>
    <w:rsid w:val="38FC6C23"/>
    <w:rsid w:val="3AAA5048"/>
    <w:rsid w:val="40F47828"/>
    <w:rsid w:val="45BB0C9D"/>
    <w:rsid w:val="487C1FF8"/>
    <w:rsid w:val="50F17361"/>
    <w:rsid w:val="5C1D6DB7"/>
    <w:rsid w:val="60456E62"/>
    <w:rsid w:val="7CFF05EC"/>
    <w:rsid w:val="7F455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before="50" w:beforeLines="50" w:after="50" w:afterLines="50"/>
      <w:ind w:firstLine="480" w:firstLineChars="200"/>
      <w:jc w:val="both"/>
    </w:pPr>
    <w:rPr>
      <w:rFonts w:ascii="Times New Roman" w:hAnsi="Times New Roman" w:eastAsia="宋体" w:cs="Times New Roman"/>
      <w:kern w:val="2"/>
      <w:sz w:val="24"/>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Default"/>
    <w:qFormat/>
    <w:uiPriority w:val="99"/>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8">
    <w:name w:val="CM121"/>
    <w:basedOn w:val="7"/>
    <w:next w:val="7"/>
    <w:unhideWhenUsed/>
    <w:qFormat/>
    <w:uiPriority w:val="99"/>
    <w:rPr>
      <w:rFonts w:hint="eastAsia" w:ascii="楷体_GB2312" w:hAnsi="楷体_GB2312" w:eastAsia="楷体_GB2312" w:cs="Times New Roman"/>
      <w:szCs w:val="22"/>
    </w:rPr>
  </w:style>
  <w:style w:type="paragraph" w:styleId="9">
    <w:name w:val="List Paragraph"/>
    <w:basedOn w:val="1"/>
    <w:link w:val="10"/>
    <w:qFormat/>
    <w:uiPriority w:val="34"/>
    <w:pPr>
      <w:tabs>
        <w:tab w:val="left" w:pos="231"/>
        <w:tab w:val="left" w:pos="273"/>
        <w:tab w:val="left" w:pos="425"/>
      </w:tabs>
      <w:spacing w:before="0" w:beforeLines="0" w:after="0" w:afterLines="0" w:line="300" w:lineRule="auto"/>
      <w:ind w:firstLine="200"/>
    </w:pPr>
    <w:rPr>
      <w:rFonts w:cstheme="minorBidi"/>
      <w:sz w:val="21"/>
      <w:szCs w:val="22"/>
    </w:rPr>
  </w:style>
  <w:style w:type="character" w:customStyle="1" w:styleId="10">
    <w:name w:val="列表段落 字符"/>
    <w:link w:val="9"/>
    <w:autoRedefine/>
    <w:qFormat/>
    <w:uiPriority w:val="34"/>
    <w:rPr>
      <w:rFonts w:cstheme="minorBidi"/>
      <w:kern w:val="2"/>
      <w:sz w:val="21"/>
      <w:szCs w:val="22"/>
    </w:rPr>
  </w:style>
  <w:style w:type="paragraph" w:customStyle="1" w:styleId="11">
    <w:name w:val="Char Char1"/>
    <w:basedOn w:val="1"/>
    <w:qFormat/>
    <w:uiPriority w:val="0"/>
    <w:pPr>
      <w:widowControl/>
      <w:spacing w:before="0" w:beforeLines="0" w:after="160" w:afterLines="0" w:line="240" w:lineRule="exact"/>
      <w:ind w:firstLine="200"/>
      <w:jc w:val="left"/>
    </w:pPr>
    <w:rPr>
      <w:rFonts w:ascii="Verdana" w:hAnsi="Verdana" w:eastAsia="仿宋_GB2312"/>
      <w:kern w:val="0"/>
      <w:sz w:val="20"/>
      <w:szCs w:val="20"/>
      <w:lang w:eastAsia="en-US"/>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9</Pages>
  <Words>2903</Words>
  <Characters>3021</Characters>
  <Lines>14</Lines>
  <Paragraphs>3</Paragraphs>
  <TotalTime>7</TotalTime>
  <ScaleCrop>false</ScaleCrop>
  <LinksUpToDate>false</LinksUpToDate>
  <CharactersWithSpaces>3066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2024-03-25T06:41:00Z</dcterms:created>
  <dc:creator>ytm</dc:creator>
  <cp:lastModifiedBy>烨</cp:lastModifiedBy>
  <cp:lastPrinted>2022-04-07T01:03:00Z</cp:lastPrinted>
  <dcterms:modified xsi:type="dcterms:W3CDTF">2024-08-29T07:04:24Z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91878219DF574CB485BFD7A85E34B08C_12</vt:lpwstr>
  </property>
</Properties>
</file>